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0BA3E">
      <w:pPr>
        <w:pStyle w:val="152"/>
        <w:framePr w:wrap="around"/>
      </w:pPr>
      <w:r>
        <w:rPr>
          <w:rFonts w:ascii="Times New Roman"/>
        </w:rPr>
        <w:t>ICS</w:t>
      </w:r>
      <w:r>
        <w:rPr>
          <w:rFonts w:hint="eastAsia" w:ascii="MS Mincho" w:hAnsi="MS Mincho" w:eastAsia="MS Mincho" w:cs="MS Mincho"/>
        </w:rPr>
        <w:t> </w:t>
      </w:r>
      <w:bookmarkStart w:id="0" w:name="ICS"/>
      <w:r>
        <w:rPr>
          <w:rFonts w:hint="default" w:ascii="黑体" w:hAnsi="Times New Roman" w:eastAsia="黑体" w:cs="Times New Roman"/>
        </w:rPr>
        <w:fldChar w:fldCharType="begin">
          <w:ffData>
            <w:name w:val="ICS"/>
            <w:enabled/>
            <w:calcOnExit w:val="0"/>
            <w:helpText w:type="text" w:val="请输入正确的ICS号："/>
            <w:textInput>
              <w:default w:val="35.040; 03.120.20"/>
            </w:textInput>
          </w:ffData>
        </w:fldChar>
      </w:r>
      <w:r>
        <w:rPr>
          <w:rFonts w:hint="default" w:ascii="黑体" w:hAnsi="Times New Roman" w:eastAsia="黑体" w:cs="Times New Roman"/>
        </w:rPr>
        <w:instrText xml:space="preserve">FORMTEXT</w:instrText>
      </w:r>
      <w:r>
        <w:rPr>
          <w:rFonts w:hint="default" w:ascii="黑体" w:hAnsi="Times New Roman" w:eastAsia="黑体" w:cs="Times New Roman"/>
        </w:rPr>
        <w:fldChar w:fldCharType="separate"/>
      </w:r>
      <w:r>
        <w:rPr>
          <w:rFonts w:hint="default" w:ascii="黑体" w:hAnsi="Times New Roman" w:eastAsia="黑体" w:cs="Times New Roman"/>
        </w:rPr>
        <w:t>35.040; 03.120.20</w:t>
      </w:r>
      <w:r>
        <w:rPr>
          <w:rFonts w:hint="default" w:ascii="黑体" w:hAnsi="Times New Roman" w:eastAsia="黑体" w:cs="Times New Roman"/>
        </w:rPr>
        <w:fldChar w:fldCharType="end"/>
      </w:r>
      <w:bookmarkEnd w:id="0"/>
    </w:p>
    <w:p w14:paraId="7A6DC43B">
      <w:pPr>
        <w:pStyle w:val="152"/>
        <w:framePr w:wrap="around"/>
        <w:rPr>
          <w:rFonts w:hint="default" w:eastAsia="黑体"/>
          <w:lang w:val="en-US" w:eastAsia="zh-CN"/>
        </w:rPr>
      </w:pPr>
      <w:r>
        <w:rPr>
          <w:rFonts w:hint="default" w:ascii="Times New Roman"/>
          <w:lang w:val="en-US" w:eastAsia="zh-CN"/>
        </w:rPr>
        <w:t>CCS</w:t>
      </w:r>
      <w:r>
        <w:rPr>
          <w:rFonts w:hint="eastAsia"/>
          <w:lang w:val="en-US" w:eastAsia="zh-CN"/>
        </w:rPr>
        <w:t xml:space="preserve"> </w:t>
      </w:r>
      <w:bookmarkStart w:id="1" w:name="WXFLH"/>
      <w:r>
        <w:rPr>
          <w:rFonts w:hint="default"/>
          <w:lang w:val="en-US" w:eastAsia="zh-CN"/>
        </w:rPr>
        <w:fldChar w:fldCharType="begin">
          <w:ffData>
            <w:name w:val="WXFLH"/>
            <w:enabled/>
            <w:calcOnExit w:val="0"/>
            <w:helpText w:type="text" w:val="请输入中国标准文献分类号："/>
            <w:textInput>
              <w:default w:val="L 80; A 00"/>
            </w:textInput>
          </w:ffData>
        </w:fldChar>
      </w:r>
      <w:r>
        <w:rPr>
          <w:rFonts w:hint="default"/>
          <w:lang w:val="en-US" w:eastAsia="zh-CN"/>
        </w:rPr>
        <w:instrText xml:space="preserve">FORMTEXT</w:instrText>
      </w:r>
      <w:r>
        <w:rPr>
          <w:rFonts w:hint="default"/>
          <w:lang w:val="en-US" w:eastAsia="zh-CN"/>
        </w:rPr>
        <w:fldChar w:fldCharType="separate"/>
      </w:r>
      <w:r>
        <w:rPr>
          <w:rFonts w:hint="default"/>
          <w:lang w:val="en-US" w:eastAsia="zh-CN"/>
        </w:rPr>
        <w:t>L 80; A 00</w:t>
      </w:r>
      <w:r>
        <w:rPr>
          <w:rFonts w:hint="default"/>
          <w:lang w:val="en-US" w:eastAsia="zh-CN"/>
        </w:rPr>
        <w:fldChar w:fldCharType="end"/>
      </w:r>
      <w:bookmarkEnd w:id="1"/>
    </w:p>
    <w:p w14:paraId="50ECD98D">
      <w:pPr>
        <w:pStyle w:val="92"/>
        <w:framePr w:wrap="around"/>
      </w:pPr>
      <w:r>
        <w:rPr>
          <w:rFonts w:hint="eastAsia"/>
        </w:rPr>
        <w:drawing>
          <wp:inline distT="0" distB="0" distL="0" distR="0">
            <wp:extent cx="1428750" cy="717550"/>
            <wp:effectExtent l="0" t="0" r="0" b="635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28750" cy="717550"/>
                    </a:xfrm>
                    <a:prstGeom prst="rect">
                      <a:avLst/>
                    </a:prstGeom>
                    <a:noFill/>
                    <a:ln>
                      <a:noFill/>
                    </a:ln>
                  </pic:spPr>
                </pic:pic>
              </a:graphicData>
            </a:graphic>
          </wp:inline>
        </w:drawing>
      </w:r>
    </w:p>
    <w:p w14:paraId="02AD6B91">
      <w:pPr>
        <w:pStyle w:val="93"/>
        <w:framePr w:h="808" w:hRule="exact" w:wrap="around"/>
        <w:rPr>
          <w:sz w:val="52"/>
          <w:szCs w:val="52"/>
        </w:rPr>
      </w:pPr>
      <w:r>
        <w:rPr>
          <w:rFonts w:hint="eastAsia"/>
          <w:sz w:val="52"/>
          <w:szCs w:val="52"/>
        </w:rPr>
        <w:t>中华人民共和国国家标准</w:t>
      </w:r>
    </w:p>
    <w:p w14:paraId="25BF9AC1">
      <w:pPr>
        <w:pStyle w:val="71"/>
        <w:framePr w:wrap="around"/>
        <w:rPr>
          <w:rFonts w:hint="eastAsia" w:ascii="黑体" w:hAnsi="黑体" w:eastAsia="黑体" w:cs="黑体"/>
        </w:rPr>
      </w:pPr>
      <w:r>
        <w:rPr>
          <w:rFonts w:hint="eastAsia" w:ascii="黑体" w:hAnsi="黑体" w:eastAsia="黑体" w:cs="黑体"/>
        </w:rPr>
        <w:t>GB/T 25067－202X/ISO/IEC 27006-1:2024</w:t>
      </w:r>
    </w:p>
    <w:tbl>
      <w:tblPr>
        <w:tblStyle w:val="47"/>
        <w:tblW w:w="9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4"/>
      </w:tblGrid>
      <w:tr w14:paraId="78B9C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14" w:type="dxa"/>
            <w:tcBorders>
              <w:top w:val="nil"/>
              <w:left w:val="nil"/>
              <w:bottom w:val="nil"/>
              <w:right w:val="nil"/>
            </w:tcBorders>
          </w:tcPr>
          <w:p w14:paraId="7168EF30">
            <w:pPr>
              <w:pStyle w:val="102"/>
              <w:framePr w:wrap="around"/>
            </w:pPr>
            <w:bookmarkStart w:id="2"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3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119.8pt;height:18pt;width:90pt;z-index:-251655168;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U6INgAAAALAQAADwAAAAAAAAABACAAAAAi&#10;AAAAZHJzL2Rvd25yZXYueG1sUEsBAhQAFAAAAAgAh07iQKVIj5EKAgAAIQQAAA4AAAAAAAAAAQAg&#10;AAAAJwEAAGRycy9lMm9Eb2MueG1sUEsFBgAAAAAGAAYAWQEAAKMFAAAAAA==&#10;">
                      <v:fill on="t" focussize="0,0"/>
                      <v:stroke on="f"/>
                      <v:imagedata o:title=""/>
                      <o:lock v:ext="edit" aspectratio="f"/>
                    </v:rect>
                  </w:pict>
                </mc:Fallback>
              </mc:AlternateContent>
            </w:r>
            <w:bookmarkEnd w:id="2"/>
            <w:r>
              <w:rPr>
                <w:rFonts w:hint="eastAsia" w:ascii="黑体" w:hAnsi="黑体" w:eastAsia="黑体" w:cs="黑体"/>
              </w:rPr>
              <w:fldChar w:fldCharType="begin">
                <w:ffData>
                  <w:enabled/>
                  <w:calcOnExit w:val="0"/>
                  <w:textInput>
                    <w:default w:val="代替 GB/T 25067-2016"/>
                  </w:textInput>
                </w:ffData>
              </w:fldChar>
            </w:r>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代替 GB/T 25067－2020</w:t>
            </w:r>
            <w:r>
              <w:rPr>
                <w:rFonts w:hint="eastAsia" w:ascii="黑体" w:hAnsi="黑体" w:eastAsia="黑体" w:cs="黑体"/>
              </w:rPr>
              <w:fldChar w:fldCharType="end"/>
            </w:r>
          </w:p>
        </w:tc>
      </w:tr>
    </w:tbl>
    <w:p w14:paraId="7AC92099">
      <w:pPr>
        <w:pStyle w:val="71"/>
        <w:framePr w:wrap="around"/>
        <w:wordWrap w:val="0"/>
        <w:jc w:val="both"/>
      </w:pPr>
      <w:r>
        <w:rPr>
          <w:rFonts w:hint="eastAsia"/>
        </w:rPr>
        <w:t xml:space="preserve"> </w:t>
      </w:r>
    </w:p>
    <w:p w14:paraId="7C87AFE7">
      <w:pPr>
        <w:pStyle w:val="71"/>
        <w:framePr w:wrap="around"/>
      </w:pPr>
    </w:p>
    <w:p w14:paraId="51E4D520">
      <w:pPr>
        <w:pStyle w:val="104"/>
        <w:framePr w:wrap="around" w:x="1365" w:y="6333"/>
      </w:pPr>
      <w:bookmarkStart w:id="3" w:name="StdName"/>
      <w:r>
        <w:rPr>
          <w:rFonts w:hint="eastAsia"/>
        </w:rPr>
        <w:fldChar w:fldCharType="begin">
          <w:ffData>
            <w:name w:val="StdName"/>
            <w:enabled/>
            <w:calcOnExit w:val="0"/>
            <w:textInput>
              <w:default w:val="网络安全技术　信息安全管理体系审核和认证机构要求"/>
            </w:textInput>
          </w:ffData>
        </w:fldChar>
      </w:r>
      <w:r>
        <w:rPr>
          <w:rFonts w:hint="eastAsia"/>
        </w:rPr>
        <w:instrText xml:space="preserve">FORMTEXT</w:instrText>
      </w:r>
      <w:r>
        <w:rPr>
          <w:rFonts w:hint="eastAsia"/>
        </w:rPr>
        <w:fldChar w:fldCharType="separate"/>
      </w:r>
      <w:r>
        <w:rPr>
          <w:rFonts w:hint="eastAsia"/>
        </w:rPr>
        <w:t>网络安全技术　信息安全管理体系审核和认证机构要求</w:t>
      </w:r>
      <w:r>
        <w:rPr>
          <w:rFonts w:hint="eastAsia"/>
        </w:rPr>
        <w:fldChar w:fldCharType="end"/>
      </w:r>
      <w:bookmarkEnd w:id="3"/>
    </w:p>
    <w:p w14:paraId="163B3345">
      <w:pPr>
        <w:pStyle w:val="105"/>
        <w:framePr w:wrap="around" w:x="1365" w:y="6333"/>
      </w:pPr>
      <w:bookmarkStart w:id="4" w:name="StdEnglishName"/>
      <w:r>
        <w:rPr>
          <w:rFonts w:hint="default"/>
        </w:rPr>
        <w:fldChar w:fldCharType="begin">
          <w:ffData>
            <w:name w:val="StdEnglishName"/>
            <w:enabled/>
            <w:calcOnExit w:val="0"/>
            <w:textInput>
              <w:default w:val="Cybersecurity technology — Requirements for bodies providing audit and certification of information security management systems"/>
            </w:textInput>
          </w:ffData>
        </w:fldChar>
      </w:r>
      <w:r>
        <w:rPr>
          <w:rFonts w:hint="default"/>
        </w:rPr>
        <w:instrText xml:space="preserve">FORMTEXT</w:instrText>
      </w:r>
      <w:r>
        <w:rPr>
          <w:rFonts w:hint="default"/>
        </w:rPr>
        <w:fldChar w:fldCharType="separate"/>
      </w:r>
      <w:r>
        <w:rPr>
          <w:rFonts w:hint="default"/>
        </w:rPr>
        <w:t>Cybersecurity technology — Requirements for bodies providing audit and certification of information security management systems</w:t>
      </w:r>
      <w:r>
        <w:rPr>
          <w:rFonts w:hint="default"/>
        </w:rPr>
        <w:fldChar w:fldCharType="end"/>
      </w:r>
      <w:bookmarkEnd w:id="4"/>
    </w:p>
    <w:p w14:paraId="2DA80C01">
      <w:pPr>
        <w:pStyle w:val="106"/>
        <w:framePr w:wrap="around" w:x="1365" w:y="6333"/>
      </w:pPr>
      <w:r>
        <w:rPr>
          <w:rFonts w:ascii="Times New Roman"/>
        </w:rPr>
        <w:fldChar w:fldCharType="begin">
          <w:ffData>
            <w:name w:val="YZBS"/>
            <w:enabled/>
            <w:calcOnExit w:val="0"/>
            <w:textInput>
              <w:default w:val="（ISO/IEC 27006:2015，IDT）"/>
            </w:textInput>
          </w:ffData>
        </w:fldChar>
      </w:r>
      <w:bookmarkStart w:id="5" w:name="YZBS"/>
      <w:r>
        <w:rPr>
          <w:rFonts w:ascii="Times New Roman"/>
        </w:rPr>
        <w:instrText xml:space="preserve"> FORMTEXT </w:instrText>
      </w:r>
      <w:r>
        <w:rPr>
          <w:rFonts w:ascii="Times New Roman"/>
        </w:rPr>
        <w:fldChar w:fldCharType="separate"/>
      </w:r>
      <w:r>
        <w:rPr>
          <w:rFonts w:hint="default" w:ascii="Times New Roman"/>
        </w:rPr>
        <w:t>（ISO/IEC 27006-1:2024</w:t>
      </w:r>
      <w:r>
        <w:rPr>
          <w:rFonts w:hint="eastAsia" w:ascii="Times New Roman"/>
          <w:lang w:val="en-US" w:eastAsia="zh-CN"/>
        </w:rPr>
        <w:t xml:space="preserve">, </w:t>
      </w:r>
      <w:r>
        <w:rPr>
          <w:rFonts w:hint="default" w:ascii="Times New Roman"/>
        </w:rPr>
        <w:t>Information security, cybersecurity and privacy protection — Requirements for bodies providing audit and certification of information security management systems — Part 1: General</w:t>
      </w:r>
      <w:r>
        <w:rPr>
          <w:rFonts w:hint="default" w:ascii="Times New Roman"/>
          <w:lang w:val="en-US" w:eastAsia="zh-CN"/>
        </w:rPr>
        <w:t>,</w:t>
      </w:r>
      <w:r>
        <w:rPr>
          <w:rFonts w:hint="eastAsia" w:ascii="Times New Roman"/>
          <w:lang w:val="en-US" w:eastAsia="zh-CN"/>
        </w:rPr>
        <w:t xml:space="preserve"> </w:t>
      </w:r>
      <w:r>
        <w:rPr>
          <w:rFonts w:hint="default" w:ascii="Times New Roman"/>
        </w:rPr>
        <w:t>IDT）</w:t>
      </w:r>
      <w:r>
        <w:rPr>
          <w:rFonts w:ascii="Times New Roman"/>
        </w:rPr>
        <w:fldChar w:fldCharType="end"/>
      </w:r>
      <w:bookmarkEnd w:id="5"/>
    </w:p>
    <w:p w14:paraId="6F04CEFA">
      <w:pPr>
        <w:pStyle w:val="106"/>
        <w:framePr w:wrap="around" w:x="1365" w:y="6333"/>
      </w:pPr>
    </w:p>
    <w:tbl>
      <w:tblPr>
        <w:tblStyle w:val="47"/>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14:paraId="13745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4A680F5E">
            <w:pPr>
              <w:pStyle w:val="107"/>
              <w:framePr w:wrap="around" w:x="1365" w:y="6333"/>
            </w:pPr>
          </w:p>
        </w:tc>
      </w:tr>
      <w:tr w14:paraId="5F5EB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0C967E55">
            <w:pPr>
              <w:pStyle w:val="108"/>
              <w:framePr w:wrap="around" w:x="1365" w:y="6333"/>
              <w:rPr>
                <w:rFonts w:hint="eastAsia"/>
                <w:lang w:val="en-US" w:eastAsia="zh-CN"/>
              </w:rPr>
            </w:pPr>
            <w:bookmarkStart w:id="6" w:name="WCRQ"/>
            <w:r>
              <w:fldChar w:fldCharType="begin">
                <w:ffData>
                  <w:name w:val="WCRQ"/>
                  <w:enabled/>
                  <w:calcOnExit w:val="0"/>
                  <w:textInput/>
                </w:ffData>
              </w:fldChar>
            </w:r>
            <w:r>
              <w:instrText xml:space="preserve"> FORMTEXT </w:instrText>
            </w:r>
            <w:r>
              <w:fldChar w:fldCharType="separate"/>
            </w:r>
            <w:r>
              <w:rPr>
                <w:rFonts w:hint="eastAsia"/>
              </w:rPr>
              <w:t>（</w:t>
            </w:r>
            <w:r>
              <w:rPr>
                <w:rFonts w:hint="eastAsia"/>
                <w:lang w:val="en-US" w:eastAsia="zh-CN"/>
              </w:rPr>
              <w:t>征求意见稿）</w:t>
            </w:r>
          </w:p>
          <w:p w14:paraId="56F052A1">
            <w:pPr>
              <w:pStyle w:val="108"/>
              <w:framePr w:wrap="around" w:x="1365" w:y="6333"/>
            </w:pPr>
            <w:r>
              <w:rPr>
                <w:rFonts w:hint="eastAsia"/>
                <w:lang w:val="en-US" w:eastAsia="zh-CN"/>
              </w:rPr>
              <w:t>（</w:t>
            </w:r>
            <w:r>
              <w:rPr>
                <w:rFonts w:hint="eastAsia"/>
              </w:rPr>
              <w:t>完成日期：202</w:t>
            </w:r>
            <w:r>
              <w:rPr>
                <w:rFonts w:hint="eastAsia"/>
                <w:lang w:val="en-US" w:eastAsia="zh-CN"/>
              </w:rPr>
              <w:t>5</w:t>
            </w:r>
            <w:r>
              <w:rPr>
                <w:rFonts w:hint="eastAsia"/>
              </w:rPr>
              <w:t>年</w:t>
            </w:r>
            <w:r>
              <w:rPr>
                <w:rFonts w:hint="eastAsia"/>
                <w:lang w:val="en-US" w:eastAsia="zh-CN"/>
              </w:rPr>
              <w:t>2</w:t>
            </w:r>
            <w:r>
              <w:rPr>
                <w:rFonts w:hint="eastAsia"/>
              </w:rPr>
              <w:t>月</w:t>
            </w:r>
            <w:r>
              <w:rPr>
                <w:rFonts w:hint="eastAsia"/>
                <w:lang w:val="en-US" w:eastAsia="zh-CN"/>
              </w:rPr>
              <w:t>27</w:t>
            </w:r>
            <w:r>
              <w:rPr>
                <w:rFonts w:hint="eastAsia"/>
              </w:rPr>
              <w:t>日）</w:t>
            </w:r>
            <w:r>
              <w:fldChar w:fldCharType="end"/>
            </w:r>
            <w:bookmarkEnd w:id="6"/>
          </w:p>
        </w:tc>
      </w:tr>
    </w:tbl>
    <w:p w14:paraId="74B3469A">
      <w:pPr>
        <w:pStyle w:val="159"/>
        <w:framePr w:wrap="around" w:hAnchor="page" w:y="14140"/>
      </w:pPr>
      <w:bookmarkStart w:id="7"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9251315</wp:posOffset>
                </wp:positionV>
                <wp:extent cx="6120130" cy="0"/>
                <wp:effectExtent l="0" t="0" r="13970" b="19050"/>
                <wp:wrapNone/>
                <wp:docPr id="34" name="Line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05pt;margin-top:728.45pt;height:0pt;width:481.9pt;mso-position-vertical-relative:page;z-index:25166028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tL/PXAAAACwEAAA8AAAAAAAAAAQAgAAAAIgAAAGRycy9k&#10;b3ducmV2LnhtbFBLAQIUABQAAAAIAIdO4kDP+tJtygEAAKADAAAOAAAAAAAAAAEAIAAAACYBAABk&#10;cnMvZTJvRG9jLnhtbFBLBQYAAAAABgAGAFkBAABiBQAAAAA=&#10;">
                <v:fill on="f" focussize="0,0"/>
                <v:stroke color="#000000" joinstyle="round"/>
                <v:imagedata o:title=""/>
                <o:lock v:ext="edit" aspectratio="f"/>
                <w10:anchorlock/>
              </v:line>
            </w:pict>
          </mc:Fallback>
        </mc:AlternateContent>
      </w:r>
    </w:p>
    <w:p w14:paraId="61EF9C0D">
      <w:pPr>
        <w:pStyle w:val="160"/>
        <w:framePr w:wrap="around" w:hAnchor="page" w:y="14140"/>
      </w:pPr>
      <w:bookmarkStart w:id="10"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14:paraId="2EE62500">
      <w:pPr>
        <w:pStyle w:val="100"/>
        <w:framePr w:wrap="around"/>
      </w:pPr>
      <w:r>
        <w:rPr>
          <w:b w:val="0"/>
        </w:rPr>
        <w:drawing>
          <wp:inline distT="0" distB="0" distL="0" distR="0">
            <wp:extent cx="3556635" cy="615315"/>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56800" cy="615600"/>
                    </a:xfrm>
                    <a:prstGeom prst="rect">
                      <a:avLst/>
                    </a:prstGeom>
                    <a:noFill/>
                    <a:ln>
                      <a:noFill/>
                    </a:ln>
                  </pic:spPr>
                </pic:pic>
              </a:graphicData>
            </a:graphic>
          </wp:inline>
        </w:drawing>
      </w:r>
    </w:p>
    <w:p w14:paraId="35EFDA78">
      <w:pPr>
        <w:pStyle w:val="100"/>
        <w:framePr w:wrap="around"/>
      </w:pPr>
    </w:p>
    <w:p w14:paraId="2D285021">
      <w:pPr>
        <w:pStyle w:val="36"/>
        <w:ind w:firstLine="0" w:firstLineChars="0"/>
        <w:sectPr>
          <w:headerReference r:id="rId5" w:type="default"/>
          <w:footerReference r:id="rId7" w:type="default"/>
          <w:headerReference r:id="rId6" w:type="even"/>
          <w:footerReference r:id="rId8" w:type="even"/>
          <w:pgSz w:w="11906" w:h="16838"/>
          <w:pgMar w:top="567" w:right="850" w:bottom="1134" w:left="1418" w:header="0" w:footer="0" w:gutter="0"/>
          <w:pgBorders>
            <w:top w:val="none" w:sz="0" w:space="0"/>
            <w:left w:val="none" w:sz="0" w:space="0"/>
            <w:bottom w:val="none" w:sz="0" w:space="0"/>
            <w:right w:val="none" w:sz="0" w:space="0"/>
          </w:pgBorders>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2339340</wp:posOffset>
                </wp:positionV>
                <wp:extent cx="6120130" cy="0"/>
                <wp:effectExtent l="0" t="0" r="13970" b="19050"/>
                <wp:wrapNone/>
                <wp:docPr id="33"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184.2pt;height:0pt;width:481.9pt;z-index:251661312;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dbwCNcAAAAJAQAADwAAAAAAAAABACAAAAAiAAAAZHJzL2Rv&#10;d25yZXYueG1sUEsBAhQAFAAAAAgAh07iQDn5L1HJAQAAoAMAAA4AAAAAAAAAAQAgAAAAJgEAAGRy&#10;cy9lMm9Eb2MueG1sUEsFBgAAAAAGAAYAWQEAAGEFAAAAAA==&#10;">
                <v:fill on="f" focussize="0,0"/>
                <v:stroke color="#000000" joinstyle="round"/>
                <v:imagedata o:title=""/>
                <o:lock v:ext="edit" aspectratio="f"/>
              </v:line>
            </w:pict>
          </mc:Fallback>
        </mc:AlternateContent>
      </w:r>
    </w:p>
    <w:p w14:paraId="613946BA">
      <w:pPr>
        <w:pStyle w:val="139"/>
        <w:keepNext w:val="0"/>
        <w:pageBreakBefore w:val="0"/>
        <w:numPr>
          <w:ilvl w:val="0"/>
          <w:numId w:val="19"/>
        </w:numPr>
        <w:spacing w:before="312" w:beforeLines="100" w:after="312" w:afterLines="100"/>
        <w:outlineLvl w:val="9"/>
        <w:rPr>
          <w:szCs w:val="32"/>
        </w:rPr>
      </w:pPr>
      <w:bookmarkStart w:id="13" w:name="_Toc432532315"/>
      <w:bookmarkStart w:id="14" w:name="_Toc26418"/>
      <w:bookmarkStart w:id="15" w:name="_Toc10433"/>
      <w:bookmarkStart w:id="16" w:name="_Toc162349642"/>
      <w:r>
        <w:rPr>
          <w:rFonts w:hint="eastAsia"/>
          <w:szCs w:val="32"/>
        </w:rPr>
        <w:t>目  次</w:t>
      </w:r>
      <w:bookmarkEnd w:id="13"/>
      <w:bookmarkEnd w:id="14"/>
      <w:bookmarkEnd w:id="15"/>
    </w:p>
    <w:p w14:paraId="6137C949">
      <w:pPr>
        <w:pStyle w:val="32"/>
        <w:tabs>
          <w:tab w:val="right" w:leader="dot" w:pos="9071"/>
          <w:tab w:val="clear" w:pos="9241"/>
        </w:tabs>
      </w:pPr>
      <w:r>
        <w:rPr>
          <w:rStyle w:val="58"/>
          <w:rFonts w:hAnsi="宋体"/>
          <w:sz w:val="22"/>
        </w:rPr>
        <w:fldChar w:fldCharType="begin"/>
      </w:r>
      <w:r>
        <w:rPr>
          <w:rStyle w:val="58"/>
          <w:rFonts w:hAnsi="宋体"/>
        </w:rPr>
        <w:instrText xml:space="preserve"> TOC \o "1-3" \h \z \u </w:instrText>
      </w:r>
      <w:r>
        <w:rPr>
          <w:rStyle w:val="58"/>
          <w:rFonts w:hAnsi="宋体"/>
          <w:sz w:val="22"/>
        </w:rPr>
        <w:fldChar w:fldCharType="separate"/>
      </w:r>
      <w:r>
        <w:rPr>
          <w:rFonts w:hAnsi="宋体"/>
        </w:rPr>
        <w:fldChar w:fldCharType="begin"/>
      </w:r>
      <w:r>
        <w:rPr>
          <w:rFonts w:hAnsi="宋体"/>
        </w:rPr>
        <w:instrText xml:space="preserve"> HYPERLINK \l _Toc30448 </w:instrText>
      </w:r>
      <w:r>
        <w:rPr>
          <w:rFonts w:hAnsi="宋体"/>
        </w:rPr>
        <w:fldChar w:fldCharType="separate"/>
      </w:r>
      <w:r>
        <w:rPr>
          <w:rFonts w:hint="eastAsia"/>
          <w:szCs w:val="30"/>
        </w:rPr>
        <w:t xml:space="preserve">前 </w:t>
      </w:r>
      <w:r>
        <w:rPr>
          <w:szCs w:val="30"/>
        </w:rPr>
        <w:t xml:space="preserve"> </w:t>
      </w:r>
      <w:r>
        <w:rPr>
          <w:rFonts w:hint="eastAsia"/>
          <w:szCs w:val="30"/>
        </w:rPr>
        <w:t>言</w:t>
      </w:r>
      <w:r>
        <w:tab/>
      </w:r>
      <w:r>
        <w:fldChar w:fldCharType="begin"/>
      </w:r>
      <w:r>
        <w:instrText xml:space="preserve"> PAGEREF _Toc30448 \h </w:instrText>
      </w:r>
      <w:r>
        <w:fldChar w:fldCharType="separate"/>
      </w:r>
      <w:r>
        <w:t>I</w:t>
      </w:r>
      <w:r>
        <w:fldChar w:fldCharType="end"/>
      </w:r>
      <w:r>
        <w:rPr>
          <w:rFonts w:hAnsi="宋体"/>
        </w:rPr>
        <w:fldChar w:fldCharType="end"/>
      </w:r>
    </w:p>
    <w:p w14:paraId="5611869D">
      <w:pPr>
        <w:pStyle w:val="32"/>
        <w:tabs>
          <w:tab w:val="right" w:leader="dot" w:pos="9071"/>
          <w:tab w:val="clear" w:pos="9241"/>
        </w:tabs>
      </w:pPr>
      <w:r>
        <w:rPr>
          <w:rFonts w:hAnsi="宋体"/>
        </w:rPr>
        <w:fldChar w:fldCharType="begin"/>
      </w:r>
      <w:r>
        <w:rPr>
          <w:rFonts w:hAnsi="宋体"/>
        </w:rPr>
        <w:instrText xml:space="preserve"> HYPERLINK \l _Toc21966 </w:instrText>
      </w:r>
      <w:r>
        <w:rPr>
          <w:rFonts w:hAnsi="宋体"/>
        </w:rPr>
        <w:fldChar w:fldCharType="separate"/>
      </w:r>
      <w:r>
        <w:rPr>
          <w:rFonts w:hint="eastAsia"/>
        </w:rPr>
        <w:t xml:space="preserve">引 </w:t>
      </w:r>
      <w:r>
        <w:t xml:space="preserve"> </w:t>
      </w:r>
      <w:r>
        <w:rPr>
          <w:rFonts w:hint="eastAsia"/>
        </w:rPr>
        <w:t>言</w:t>
      </w:r>
      <w:r>
        <w:tab/>
      </w:r>
      <w:r>
        <w:fldChar w:fldCharType="begin"/>
      </w:r>
      <w:r>
        <w:instrText xml:space="preserve"> PAGEREF _Toc21966 \h </w:instrText>
      </w:r>
      <w:r>
        <w:fldChar w:fldCharType="separate"/>
      </w:r>
      <w:r>
        <w:t>II</w:t>
      </w:r>
      <w:r>
        <w:fldChar w:fldCharType="end"/>
      </w:r>
      <w:r>
        <w:rPr>
          <w:rFonts w:hAnsi="宋体"/>
        </w:rPr>
        <w:fldChar w:fldCharType="end"/>
      </w:r>
    </w:p>
    <w:p w14:paraId="7454AB97">
      <w:pPr>
        <w:pStyle w:val="41"/>
        <w:tabs>
          <w:tab w:val="right" w:leader="dot" w:pos="9071"/>
          <w:tab w:val="clear" w:pos="9241"/>
        </w:tabs>
      </w:pPr>
      <w:r>
        <w:rPr>
          <w:rFonts w:hAnsi="宋体"/>
        </w:rPr>
        <w:fldChar w:fldCharType="begin"/>
      </w:r>
      <w:r>
        <w:rPr>
          <w:rFonts w:hAnsi="宋体"/>
        </w:rPr>
        <w:instrText xml:space="preserve"> HYPERLINK \l _Toc16293 </w:instrText>
      </w:r>
      <w:r>
        <w:rPr>
          <w:rFonts w:hAnsi="宋体"/>
        </w:rPr>
        <w:fldChar w:fldCharType="separate"/>
      </w:r>
      <w:r>
        <w:rPr>
          <w:rFonts w:hint="eastAsia" w:ascii="黑体" w:hAnsi="Times New Roman" w:eastAsia="黑体"/>
          <w:i w:val="0"/>
        </w:rPr>
        <w:t xml:space="preserve">1 </w:t>
      </w:r>
      <w:r>
        <w:t>范围</w:t>
      </w:r>
      <w:r>
        <w:tab/>
      </w:r>
      <w:r>
        <w:fldChar w:fldCharType="begin"/>
      </w:r>
      <w:r>
        <w:instrText xml:space="preserve"> PAGEREF _Toc16293 \h </w:instrText>
      </w:r>
      <w:r>
        <w:fldChar w:fldCharType="separate"/>
      </w:r>
      <w:r>
        <w:t>1</w:t>
      </w:r>
      <w:r>
        <w:fldChar w:fldCharType="end"/>
      </w:r>
      <w:r>
        <w:rPr>
          <w:rFonts w:hAnsi="宋体"/>
        </w:rPr>
        <w:fldChar w:fldCharType="end"/>
      </w:r>
    </w:p>
    <w:p w14:paraId="1B843C8F">
      <w:pPr>
        <w:pStyle w:val="41"/>
        <w:tabs>
          <w:tab w:val="right" w:leader="dot" w:pos="9071"/>
          <w:tab w:val="clear" w:pos="9241"/>
        </w:tabs>
      </w:pPr>
      <w:r>
        <w:rPr>
          <w:rFonts w:hAnsi="宋体"/>
        </w:rPr>
        <w:fldChar w:fldCharType="begin"/>
      </w:r>
      <w:r>
        <w:rPr>
          <w:rFonts w:hAnsi="宋体"/>
        </w:rPr>
        <w:instrText xml:space="preserve"> HYPERLINK \l _Toc12498 </w:instrText>
      </w:r>
      <w:r>
        <w:rPr>
          <w:rFonts w:hAnsi="宋体"/>
        </w:rPr>
        <w:fldChar w:fldCharType="separate"/>
      </w:r>
      <w:r>
        <w:rPr>
          <w:rFonts w:hint="eastAsia" w:ascii="黑体" w:hAnsi="Times New Roman" w:eastAsia="黑体"/>
          <w:i w:val="0"/>
        </w:rPr>
        <w:t xml:space="preserve">2 </w:t>
      </w:r>
      <w:r>
        <w:t>规范性引用文件</w:t>
      </w:r>
      <w:r>
        <w:tab/>
      </w:r>
      <w:r>
        <w:fldChar w:fldCharType="begin"/>
      </w:r>
      <w:r>
        <w:instrText xml:space="preserve"> PAGEREF _Toc12498 \h </w:instrText>
      </w:r>
      <w:r>
        <w:fldChar w:fldCharType="separate"/>
      </w:r>
      <w:r>
        <w:t>1</w:t>
      </w:r>
      <w:r>
        <w:fldChar w:fldCharType="end"/>
      </w:r>
      <w:r>
        <w:rPr>
          <w:rFonts w:hAnsi="宋体"/>
        </w:rPr>
        <w:fldChar w:fldCharType="end"/>
      </w:r>
    </w:p>
    <w:p w14:paraId="41CF13F8">
      <w:pPr>
        <w:pStyle w:val="41"/>
        <w:tabs>
          <w:tab w:val="right" w:leader="dot" w:pos="9071"/>
          <w:tab w:val="clear" w:pos="9241"/>
        </w:tabs>
      </w:pPr>
      <w:r>
        <w:rPr>
          <w:rFonts w:hAnsi="宋体"/>
        </w:rPr>
        <w:fldChar w:fldCharType="begin"/>
      </w:r>
      <w:r>
        <w:rPr>
          <w:rFonts w:hAnsi="宋体"/>
        </w:rPr>
        <w:instrText xml:space="preserve"> HYPERLINK \l _Toc19603 </w:instrText>
      </w:r>
      <w:r>
        <w:rPr>
          <w:rFonts w:hAnsi="宋体"/>
        </w:rPr>
        <w:fldChar w:fldCharType="separate"/>
      </w:r>
      <w:r>
        <w:rPr>
          <w:rFonts w:hint="eastAsia" w:ascii="黑体" w:hAnsi="Times New Roman" w:eastAsia="黑体"/>
          <w:i w:val="0"/>
        </w:rPr>
        <w:t xml:space="preserve">3 </w:t>
      </w:r>
      <w:r>
        <w:rPr>
          <w:rFonts w:hint="eastAsia"/>
        </w:rPr>
        <w:t>术语和定义</w:t>
      </w:r>
      <w:r>
        <w:tab/>
      </w:r>
      <w:r>
        <w:fldChar w:fldCharType="begin"/>
      </w:r>
      <w:r>
        <w:instrText xml:space="preserve"> PAGEREF _Toc19603 \h </w:instrText>
      </w:r>
      <w:r>
        <w:fldChar w:fldCharType="separate"/>
      </w:r>
      <w:r>
        <w:t>1</w:t>
      </w:r>
      <w:r>
        <w:fldChar w:fldCharType="end"/>
      </w:r>
      <w:r>
        <w:rPr>
          <w:rFonts w:hAnsi="宋体"/>
        </w:rPr>
        <w:fldChar w:fldCharType="end"/>
      </w:r>
    </w:p>
    <w:p w14:paraId="28D47B6D">
      <w:pPr>
        <w:pStyle w:val="41"/>
        <w:tabs>
          <w:tab w:val="right" w:leader="dot" w:pos="9071"/>
          <w:tab w:val="clear" w:pos="9241"/>
        </w:tabs>
      </w:pPr>
      <w:r>
        <w:rPr>
          <w:rFonts w:hAnsi="宋体"/>
        </w:rPr>
        <w:fldChar w:fldCharType="begin"/>
      </w:r>
      <w:r>
        <w:rPr>
          <w:rFonts w:hAnsi="宋体"/>
        </w:rPr>
        <w:instrText xml:space="preserve"> HYPERLINK \l _Toc22690 </w:instrText>
      </w:r>
      <w:r>
        <w:rPr>
          <w:rFonts w:hAnsi="宋体"/>
        </w:rPr>
        <w:fldChar w:fldCharType="separate"/>
      </w:r>
      <w:r>
        <w:rPr>
          <w:rFonts w:hint="eastAsia" w:ascii="黑体" w:hAnsi="Times New Roman" w:eastAsia="黑体"/>
          <w:i w:val="0"/>
        </w:rPr>
        <w:t xml:space="preserve">4 </w:t>
      </w:r>
      <w:r>
        <w:rPr>
          <w:rFonts w:hint="eastAsia"/>
        </w:rPr>
        <w:t>原则</w:t>
      </w:r>
      <w:r>
        <w:tab/>
      </w:r>
      <w:r>
        <w:fldChar w:fldCharType="begin"/>
      </w:r>
      <w:r>
        <w:instrText xml:space="preserve"> PAGEREF _Toc22690 \h </w:instrText>
      </w:r>
      <w:r>
        <w:fldChar w:fldCharType="separate"/>
      </w:r>
      <w:r>
        <w:t>4</w:t>
      </w:r>
      <w:r>
        <w:fldChar w:fldCharType="end"/>
      </w:r>
      <w:r>
        <w:rPr>
          <w:rFonts w:hAnsi="宋体"/>
        </w:rPr>
        <w:fldChar w:fldCharType="end"/>
      </w:r>
    </w:p>
    <w:p w14:paraId="5EA64BBA">
      <w:pPr>
        <w:pStyle w:val="41"/>
        <w:tabs>
          <w:tab w:val="right" w:leader="dot" w:pos="9071"/>
          <w:tab w:val="clear" w:pos="9241"/>
        </w:tabs>
      </w:pPr>
      <w:r>
        <w:rPr>
          <w:rFonts w:hAnsi="宋体"/>
        </w:rPr>
        <w:fldChar w:fldCharType="begin"/>
      </w:r>
      <w:r>
        <w:rPr>
          <w:rFonts w:hAnsi="宋体"/>
        </w:rPr>
        <w:instrText xml:space="preserve"> HYPERLINK \l _Toc20205 </w:instrText>
      </w:r>
      <w:r>
        <w:rPr>
          <w:rFonts w:hAnsi="宋体"/>
        </w:rPr>
        <w:fldChar w:fldCharType="separate"/>
      </w:r>
      <w:r>
        <w:rPr>
          <w:rFonts w:hint="eastAsia" w:ascii="黑体" w:hAnsi="Times New Roman" w:eastAsia="黑体"/>
          <w:i w:val="0"/>
        </w:rPr>
        <w:t xml:space="preserve">5 </w:t>
      </w:r>
      <w:r>
        <w:rPr>
          <w:rFonts w:hint="eastAsia"/>
        </w:rPr>
        <w:t>通用要求</w:t>
      </w:r>
      <w:r>
        <w:tab/>
      </w:r>
      <w:r>
        <w:fldChar w:fldCharType="begin"/>
      </w:r>
      <w:r>
        <w:instrText xml:space="preserve"> PAGEREF _Toc20205 \h </w:instrText>
      </w:r>
      <w:r>
        <w:fldChar w:fldCharType="separate"/>
      </w:r>
      <w:r>
        <w:t>4</w:t>
      </w:r>
      <w:r>
        <w:fldChar w:fldCharType="end"/>
      </w:r>
      <w:r>
        <w:rPr>
          <w:rFonts w:hAnsi="宋体"/>
        </w:rPr>
        <w:fldChar w:fldCharType="end"/>
      </w:r>
    </w:p>
    <w:p w14:paraId="499C5ADD">
      <w:pPr>
        <w:pStyle w:val="24"/>
        <w:tabs>
          <w:tab w:val="right" w:leader="dot" w:pos="9071"/>
          <w:tab w:val="clear" w:pos="9241"/>
        </w:tabs>
      </w:pPr>
      <w:r>
        <w:rPr>
          <w:rFonts w:hAnsi="宋体"/>
        </w:rPr>
        <w:fldChar w:fldCharType="begin"/>
      </w:r>
      <w:r>
        <w:rPr>
          <w:rFonts w:hAnsi="宋体"/>
        </w:rPr>
        <w:instrText xml:space="preserve"> HYPERLINK \l _Toc13147 </w:instrText>
      </w:r>
      <w:r>
        <w:rPr>
          <w:rFonts w:hAnsi="宋体"/>
        </w:rPr>
        <w:fldChar w:fldCharType="separate"/>
      </w:r>
      <w:r>
        <w:rPr>
          <w:rFonts w:hint="eastAsia" w:ascii="黑体" w:hAnsi="Times New Roman" w:eastAsia="黑体"/>
          <w:i w:val="0"/>
        </w:rPr>
        <w:t xml:space="preserve">5.1 </w:t>
      </w:r>
      <w:r>
        <w:rPr>
          <w:rFonts w:hint="eastAsia"/>
        </w:rPr>
        <w:t>法律与合同事宜</w:t>
      </w:r>
      <w:r>
        <w:tab/>
      </w:r>
      <w:r>
        <w:fldChar w:fldCharType="begin"/>
      </w:r>
      <w:r>
        <w:instrText xml:space="preserve"> PAGEREF _Toc13147 \h </w:instrText>
      </w:r>
      <w:r>
        <w:fldChar w:fldCharType="separate"/>
      </w:r>
      <w:r>
        <w:t>4</w:t>
      </w:r>
      <w:r>
        <w:fldChar w:fldCharType="end"/>
      </w:r>
      <w:r>
        <w:rPr>
          <w:rFonts w:hAnsi="宋体"/>
        </w:rPr>
        <w:fldChar w:fldCharType="end"/>
      </w:r>
    </w:p>
    <w:p w14:paraId="05B6FC59">
      <w:pPr>
        <w:pStyle w:val="24"/>
        <w:tabs>
          <w:tab w:val="right" w:leader="dot" w:pos="9071"/>
          <w:tab w:val="clear" w:pos="9241"/>
        </w:tabs>
      </w:pPr>
      <w:r>
        <w:rPr>
          <w:rFonts w:hAnsi="宋体"/>
        </w:rPr>
        <w:fldChar w:fldCharType="begin"/>
      </w:r>
      <w:r>
        <w:rPr>
          <w:rFonts w:hAnsi="宋体"/>
        </w:rPr>
        <w:instrText xml:space="preserve"> HYPERLINK \l _Toc11285 </w:instrText>
      </w:r>
      <w:r>
        <w:rPr>
          <w:rFonts w:hAnsi="宋体"/>
        </w:rPr>
        <w:fldChar w:fldCharType="separate"/>
      </w:r>
      <w:r>
        <w:rPr>
          <w:rFonts w:hint="eastAsia" w:ascii="黑体" w:hAnsi="Times New Roman" w:eastAsia="黑体"/>
          <w:i w:val="0"/>
        </w:rPr>
        <w:t xml:space="preserve">5.2 </w:t>
      </w:r>
      <w:r>
        <w:rPr>
          <w:rFonts w:hint="eastAsia"/>
        </w:rPr>
        <w:t>公正性的管理</w:t>
      </w:r>
      <w:r>
        <w:tab/>
      </w:r>
      <w:r>
        <w:fldChar w:fldCharType="begin"/>
      </w:r>
      <w:r>
        <w:instrText xml:space="preserve"> PAGEREF _Toc11285 \h </w:instrText>
      </w:r>
      <w:r>
        <w:fldChar w:fldCharType="separate"/>
      </w:r>
      <w:r>
        <w:t>4</w:t>
      </w:r>
      <w:r>
        <w:fldChar w:fldCharType="end"/>
      </w:r>
      <w:r>
        <w:rPr>
          <w:rFonts w:hAnsi="宋体"/>
        </w:rPr>
        <w:fldChar w:fldCharType="end"/>
      </w:r>
    </w:p>
    <w:p w14:paraId="694B5F2B">
      <w:pPr>
        <w:pStyle w:val="24"/>
        <w:tabs>
          <w:tab w:val="right" w:leader="dot" w:pos="9071"/>
          <w:tab w:val="clear" w:pos="9241"/>
        </w:tabs>
      </w:pPr>
      <w:r>
        <w:rPr>
          <w:rFonts w:hAnsi="宋体"/>
        </w:rPr>
        <w:fldChar w:fldCharType="begin"/>
      </w:r>
      <w:r>
        <w:rPr>
          <w:rFonts w:hAnsi="宋体"/>
        </w:rPr>
        <w:instrText xml:space="preserve"> HYPERLINK \l _Toc7174 </w:instrText>
      </w:r>
      <w:r>
        <w:rPr>
          <w:rFonts w:hAnsi="宋体"/>
        </w:rPr>
        <w:fldChar w:fldCharType="separate"/>
      </w:r>
      <w:r>
        <w:rPr>
          <w:rFonts w:hint="eastAsia" w:ascii="黑体" w:hAnsi="Times New Roman" w:eastAsia="黑体"/>
          <w:i w:val="0"/>
        </w:rPr>
        <w:t xml:space="preserve">5.3 </w:t>
      </w:r>
      <w:r>
        <w:rPr>
          <w:rFonts w:hint="eastAsia"/>
        </w:rPr>
        <w:t>责任和财力</w:t>
      </w:r>
      <w:r>
        <w:tab/>
      </w:r>
      <w:r>
        <w:fldChar w:fldCharType="begin"/>
      </w:r>
      <w:r>
        <w:instrText xml:space="preserve"> PAGEREF _Toc7174 \h </w:instrText>
      </w:r>
      <w:r>
        <w:fldChar w:fldCharType="separate"/>
      </w:r>
      <w:r>
        <w:t>4</w:t>
      </w:r>
      <w:r>
        <w:fldChar w:fldCharType="end"/>
      </w:r>
      <w:r>
        <w:rPr>
          <w:rFonts w:hAnsi="宋体"/>
        </w:rPr>
        <w:fldChar w:fldCharType="end"/>
      </w:r>
    </w:p>
    <w:p w14:paraId="0B72966D">
      <w:pPr>
        <w:pStyle w:val="41"/>
        <w:tabs>
          <w:tab w:val="right" w:leader="dot" w:pos="9071"/>
          <w:tab w:val="clear" w:pos="9241"/>
        </w:tabs>
      </w:pPr>
      <w:r>
        <w:rPr>
          <w:rFonts w:hAnsi="宋体"/>
        </w:rPr>
        <w:fldChar w:fldCharType="begin"/>
      </w:r>
      <w:r>
        <w:rPr>
          <w:rFonts w:hAnsi="宋体"/>
        </w:rPr>
        <w:instrText xml:space="preserve"> HYPERLINK \l _Toc6467 </w:instrText>
      </w:r>
      <w:r>
        <w:rPr>
          <w:rFonts w:hAnsi="宋体"/>
        </w:rPr>
        <w:fldChar w:fldCharType="separate"/>
      </w:r>
      <w:r>
        <w:rPr>
          <w:rFonts w:hint="eastAsia" w:ascii="黑体" w:hAnsi="Times New Roman" w:eastAsia="黑体"/>
          <w:i w:val="0"/>
        </w:rPr>
        <w:t xml:space="preserve">6 </w:t>
      </w:r>
      <w:r>
        <w:rPr>
          <w:rFonts w:hint="eastAsia"/>
        </w:rPr>
        <w:t>结构要求</w:t>
      </w:r>
      <w:r>
        <w:tab/>
      </w:r>
      <w:r>
        <w:fldChar w:fldCharType="begin"/>
      </w:r>
      <w:r>
        <w:instrText xml:space="preserve"> PAGEREF _Toc6467 \h </w:instrText>
      </w:r>
      <w:r>
        <w:fldChar w:fldCharType="separate"/>
      </w:r>
      <w:r>
        <w:t>4</w:t>
      </w:r>
      <w:r>
        <w:fldChar w:fldCharType="end"/>
      </w:r>
      <w:r>
        <w:rPr>
          <w:rFonts w:hAnsi="宋体"/>
        </w:rPr>
        <w:fldChar w:fldCharType="end"/>
      </w:r>
    </w:p>
    <w:p w14:paraId="3A60E222">
      <w:pPr>
        <w:pStyle w:val="41"/>
        <w:tabs>
          <w:tab w:val="right" w:leader="dot" w:pos="9071"/>
          <w:tab w:val="clear" w:pos="9241"/>
        </w:tabs>
      </w:pPr>
      <w:r>
        <w:rPr>
          <w:rFonts w:hAnsi="宋体"/>
        </w:rPr>
        <w:fldChar w:fldCharType="begin"/>
      </w:r>
      <w:r>
        <w:rPr>
          <w:rFonts w:hAnsi="宋体"/>
        </w:rPr>
        <w:instrText xml:space="preserve"> HYPERLINK \l _Toc26636 </w:instrText>
      </w:r>
      <w:r>
        <w:rPr>
          <w:rFonts w:hAnsi="宋体"/>
        </w:rPr>
        <w:fldChar w:fldCharType="separate"/>
      </w:r>
      <w:r>
        <w:rPr>
          <w:rFonts w:hint="eastAsia" w:ascii="黑体" w:hAnsi="Times New Roman" w:eastAsia="黑体"/>
          <w:i w:val="0"/>
        </w:rPr>
        <w:t xml:space="preserve">7 </w:t>
      </w:r>
      <w:r>
        <w:rPr>
          <w:rFonts w:hint="eastAsia"/>
        </w:rPr>
        <w:t>资源要求</w:t>
      </w:r>
      <w:r>
        <w:tab/>
      </w:r>
      <w:r>
        <w:fldChar w:fldCharType="begin"/>
      </w:r>
      <w:r>
        <w:instrText xml:space="preserve"> PAGEREF _Toc26636 \h </w:instrText>
      </w:r>
      <w:r>
        <w:fldChar w:fldCharType="separate"/>
      </w:r>
      <w:r>
        <w:t>4</w:t>
      </w:r>
      <w:r>
        <w:fldChar w:fldCharType="end"/>
      </w:r>
      <w:r>
        <w:rPr>
          <w:rFonts w:hAnsi="宋体"/>
        </w:rPr>
        <w:fldChar w:fldCharType="end"/>
      </w:r>
    </w:p>
    <w:p w14:paraId="09FABDD6">
      <w:pPr>
        <w:pStyle w:val="24"/>
        <w:tabs>
          <w:tab w:val="right" w:leader="dot" w:pos="9071"/>
          <w:tab w:val="clear" w:pos="9241"/>
        </w:tabs>
      </w:pPr>
      <w:r>
        <w:rPr>
          <w:rFonts w:hAnsi="宋体"/>
        </w:rPr>
        <w:fldChar w:fldCharType="begin"/>
      </w:r>
      <w:r>
        <w:rPr>
          <w:rFonts w:hAnsi="宋体"/>
        </w:rPr>
        <w:instrText xml:space="preserve"> HYPERLINK \l _Toc24350 </w:instrText>
      </w:r>
      <w:r>
        <w:rPr>
          <w:rFonts w:hAnsi="宋体"/>
        </w:rPr>
        <w:fldChar w:fldCharType="separate"/>
      </w:r>
      <w:r>
        <w:rPr>
          <w:rFonts w:hint="eastAsia" w:ascii="黑体" w:hAnsi="Times New Roman" w:eastAsia="黑体"/>
          <w:i w:val="0"/>
        </w:rPr>
        <w:t xml:space="preserve">7.1 </w:t>
      </w:r>
      <w:r>
        <w:rPr>
          <w:rFonts w:hint="eastAsia" w:hAnsi="黑体"/>
        </w:rPr>
        <w:t>人员能力</w:t>
      </w:r>
      <w:r>
        <w:tab/>
      </w:r>
      <w:r>
        <w:fldChar w:fldCharType="begin"/>
      </w:r>
      <w:r>
        <w:instrText xml:space="preserve"> PAGEREF _Toc24350 \h </w:instrText>
      </w:r>
      <w:r>
        <w:fldChar w:fldCharType="separate"/>
      </w:r>
      <w:r>
        <w:t>4</w:t>
      </w:r>
      <w:r>
        <w:fldChar w:fldCharType="end"/>
      </w:r>
      <w:r>
        <w:rPr>
          <w:rFonts w:hAnsi="宋体"/>
        </w:rPr>
        <w:fldChar w:fldCharType="end"/>
      </w:r>
    </w:p>
    <w:p w14:paraId="50936E64">
      <w:pPr>
        <w:pStyle w:val="24"/>
        <w:tabs>
          <w:tab w:val="right" w:leader="dot" w:pos="9071"/>
          <w:tab w:val="clear" w:pos="9241"/>
        </w:tabs>
      </w:pPr>
      <w:r>
        <w:rPr>
          <w:rFonts w:hAnsi="宋体"/>
        </w:rPr>
        <w:fldChar w:fldCharType="begin"/>
      </w:r>
      <w:r>
        <w:rPr>
          <w:rFonts w:hAnsi="宋体"/>
        </w:rPr>
        <w:instrText xml:space="preserve"> HYPERLINK \l _Toc27345 </w:instrText>
      </w:r>
      <w:r>
        <w:rPr>
          <w:rFonts w:hAnsi="宋体"/>
        </w:rPr>
        <w:fldChar w:fldCharType="separate"/>
      </w:r>
      <w:r>
        <w:rPr>
          <w:rFonts w:hint="eastAsia" w:ascii="黑体" w:hAnsi="Times New Roman" w:eastAsia="黑体"/>
          <w:i w:val="0"/>
        </w:rPr>
        <w:t xml:space="preserve">7.2 </w:t>
      </w:r>
      <w:r>
        <w:rPr>
          <w:rFonts w:hint="eastAsia" w:hAnsi="黑体"/>
        </w:rPr>
        <w:t>参与认证活动的人员</w:t>
      </w:r>
      <w:r>
        <w:tab/>
      </w:r>
      <w:r>
        <w:fldChar w:fldCharType="begin"/>
      </w:r>
      <w:r>
        <w:instrText xml:space="preserve"> PAGEREF _Toc27345 \h </w:instrText>
      </w:r>
      <w:r>
        <w:fldChar w:fldCharType="separate"/>
      </w:r>
      <w:r>
        <w:t>6</w:t>
      </w:r>
      <w:r>
        <w:fldChar w:fldCharType="end"/>
      </w:r>
      <w:r>
        <w:rPr>
          <w:rFonts w:hAnsi="宋体"/>
        </w:rPr>
        <w:fldChar w:fldCharType="end"/>
      </w:r>
    </w:p>
    <w:p w14:paraId="70CBD959">
      <w:pPr>
        <w:pStyle w:val="24"/>
        <w:tabs>
          <w:tab w:val="right" w:leader="dot" w:pos="9071"/>
          <w:tab w:val="clear" w:pos="9241"/>
        </w:tabs>
      </w:pPr>
      <w:r>
        <w:rPr>
          <w:rFonts w:hAnsi="宋体"/>
        </w:rPr>
        <w:fldChar w:fldCharType="begin"/>
      </w:r>
      <w:r>
        <w:rPr>
          <w:rFonts w:hAnsi="宋体"/>
        </w:rPr>
        <w:instrText xml:space="preserve"> HYPERLINK \l _Toc25454 </w:instrText>
      </w:r>
      <w:r>
        <w:rPr>
          <w:rFonts w:hAnsi="宋体"/>
        </w:rPr>
        <w:fldChar w:fldCharType="separate"/>
      </w:r>
      <w:r>
        <w:rPr>
          <w:rFonts w:hint="eastAsia" w:ascii="黑体" w:hAnsi="Times New Roman" w:eastAsia="黑体"/>
          <w:i w:val="0"/>
        </w:rPr>
        <w:t xml:space="preserve">7.3 </w:t>
      </w:r>
      <w:r>
        <w:rPr>
          <w:rFonts w:hint="eastAsia" w:hAnsi="黑体"/>
        </w:rPr>
        <w:t>外部审核员和外部技术专家的使用</w:t>
      </w:r>
      <w:r>
        <w:tab/>
      </w:r>
      <w:r>
        <w:fldChar w:fldCharType="begin"/>
      </w:r>
      <w:r>
        <w:instrText xml:space="preserve"> PAGEREF _Toc25454 \h </w:instrText>
      </w:r>
      <w:r>
        <w:fldChar w:fldCharType="separate"/>
      </w:r>
      <w:r>
        <w:t>7</w:t>
      </w:r>
      <w:r>
        <w:fldChar w:fldCharType="end"/>
      </w:r>
      <w:r>
        <w:rPr>
          <w:rFonts w:hAnsi="宋体"/>
        </w:rPr>
        <w:fldChar w:fldCharType="end"/>
      </w:r>
    </w:p>
    <w:p w14:paraId="02A31A2E">
      <w:pPr>
        <w:pStyle w:val="24"/>
        <w:tabs>
          <w:tab w:val="right" w:leader="dot" w:pos="9071"/>
          <w:tab w:val="clear" w:pos="9241"/>
        </w:tabs>
      </w:pPr>
      <w:r>
        <w:rPr>
          <w:rFonts w:hAnsi="宋体"/>
        </w:rPr>
        <w:fldChar w:fldCharType="begin"/>
      </w:r>
      <w:r>
        <w:rPr>
          <w:rFonts w:hAnsi="宋体"/>
        </w:rPr>
        <w:instrText xml:space="preserve"> HYPERLINK \l _Toc6950 </w:instrText>
      </w:r>
      <w:r>
        <w:rPr>
          <w:rFonts w:hAnsi="宋体"/>
        </w:rPr>
        <w:fldChar w:fldCharType="separate"/>
      </w:r>
      <w:r>
        <w:rPr>
          <w:rFonts w:hint="eastAsia" w:ascii="黑体" w:hAnsi="Times New Roman" w:eastAsia="黑体"/>
          <w:i w:val="0"/>
        </w:rPr>
        <w:t xml:space="preserve">7.4 </w:t>
      </w:r>
      <w:r>
        <w:rPr>
          <w:rFonts w:hint="eastAsia" w:hAnsi="黑体"/>
        </w:rPr>
        <w:t>人员记录</w:t>
      </w:r>
      <w:r>
        <w:tab/>
      </w:r>
      <w:r>
        <w:fldChar w:fldCharType="begin"/>
      </w:r>
      <w:r>
        <w:instrText xml:space="preserve"> PAGEREF _Toc6950 \h </w:instrText>
      </w:r>
      <w:r>
        <w:fldChar w:fldCharType="separate"/>
      </w:r>
      <w:r>
        <w:t>7</w:t>
      </w:r>
      <w:r>
        <w:fldChar w:fldCharType="end"/>
      </w:r>
      <w:r>
        <w:rPr>
          <w:rFonts w:hAnsi="宋体"/>
        </w:rPr>
        <w:fldChar w:fldCharType="end"/>
      </w:r>
    </w:p>
    <w:p w14:paraId="721DA38A">
      <w:pPr>
        <w:pStyle w:val="24"/>
        <w:tabs>
          <w:tab w:val="right" w:leader="dot" w:pos="9071"/>
          <w:tab w:val="clear" w:pos="9241"/>
        </w:tabs>
      </w:pPr>
      <w:r>
        <w:rPr>
          <w:rFonts w:hAnsi="宋体"/>
        </w:rPr>
        <w:fldChar w:fldCharType="begin"/>
      </w:r>
      <w:r>
        <w:rPr>
          <w:rFonts w:hAnsi="宋体"/>
        </w:rPr>
        <w:instrText xml:space="preserve"> HYPERLINK \l _Toc28991 </w:instrText>
      </w:r>
      <w:r>
        <w:rPr>
          <w:rFonts w:hAnsi="宋体"/>
        </w:rPr>
        <w:fldChar w:fldCharType="separate"/>
      </w:r>
      <w:r>
        <w:rPr>
          <w:rFonts w:hint="eastAsia" w:ascii="黑体" w:hAnsi="Times New Roman" w:eastAsia="黑体"/>
          <w:i w:val="0"/>
        </w:rPr>
        <w:t xml:space="preserve">7.5 </w:t>
      </w:r>
      <w:r>
        <w:rPr>
          <w:rFonts w:hint="eastAsia" w:hAnsi="黑体"/>
        </w:rPr>
        <w:t>外包</w:t>
      </w:r>
      <w:r>
        <w:tab/>
      </w:r>
      <w:r>
        <w:fldChar w:fldCharType="begin"/>
      </w:r>
      <w:r>
        <w:instrText xml:space="preserve"> PAGEREF _Toc28991 \h </w:instrText>
      </w:r>
      <w:r>
        <w:fldChar w:fldCharType="separate"/>
      </w:r>
      <w:r>
        <w:t>7</w:t>
      </w:r>
      <w:r>
        <w:fldChar w:fldCharType="end"/>
      </w:r>
      <w:r>
        <w:rPr>
          <w:rFonts w:hAnsi="宋体"/>
        </w:rPr>
        <w:fldChar w:fldCharType="end"/>
      </w:r>
    </w:p>
    <w:p w14:paraId="0425F6D9">
      <w:pPr>
        <w:pStyle w:val="41"/>
        <w:tabs>
          <w:tab w:val="right" w:leader="dot" w:pos="9071"/>
          <w:tab w:val="clear" w:pos="9241"/>
        </w:tabs>
      </w:pPr>
      <w:r>
        <w:rPr>
          <w:rFonts w:hAnsi="宋体"/>
        </w:rPr>
        <w:fldChar w:fldCharType="begin"/>
      </w:r>
      <w:r>
        <w:rPr>
          <w:rFonts w:hAnsi="宋体"/>
        </w:rPr>
        <w:instrText xml:space="preserve"> HYPERLINK \l _Toc4450 </w:instrText>
      </w:r>
      <w:r>
        <w:rPr>
          <w:rFonts w:hAnsi="宋体"/>
        </w:rPr>
        <w:fldChar w:fldCharType="separate"/>
      </w:r>
      <w:r>
        <w:rPr>
          <w:rFonts w:hint="eastAsia" w:ascii="黑体" w:hAnsi="Times New Roman" w:eastAsia="黑体"/>
          <w:i w:val="0"/>
        </w:rPr>
        <w:t xml:space="preserve">8 </w:t>
      </w:r>
      <w:r>
        <w:rPr>
          <w:rFonts w:hint="eastAsia"/>
        </w:rPr>
        <w:t>信息要求</w:t>
      </w:r>
      <w:r>
        <w:tab/>
      </w:r>
      <w:r>
        <w:fldChar w:fldCharType="begin"/>
      </w:r>
      <w:r>
        <w:instrText xml:space="preserve"> PAGEREF _Toc4450 \h </w:instrText>
      </w:r>
      <w:r>
        <w:fldChar w:fldCharType="separate"/>
      </w:r>
      <w:r>
        <w:t>8</w:t>
      </w:r>
      <w:r>
        <w:fldChar w:fldCharType="end"/>
      </w:r>
      <w:r>
        <w:rPr>
          <w:rFonts w:hAnsi="宋体"/>
        </w:rPr>
        <w:fldChar w:fldCharType="end"/>
      </w:r>
    </w:p>
    <w:p w14:paraId="0C5ED03E">
      <w:pPr>
        <w:pStyle w:val="24"/>
        <w:tabs>
          <w:tab w:val="right" w:leader="dot" w:pos="9071"/>
          <w:tab w:val="clear" w:pos="9241"/>
        </w:tabs>
      </w:pPr>
      <w:r>
        <w:rPr>
          <w:rFonts w:hAnsi="宋体"/>
        </w:rPr>
        <w:fldChar w:fldCharType="begin"/>
      </w:r>
      <w:r>
        <w:rPr>
          <w:rFonts w:hAnsi="宋体"/>
        </w:rPr>
        <w:instrText xml:space="preserve"> HYPERLINK \l _Toc15138 </w:instrText>
      </w:r>
      <w:r>
        <w:rPr>
          <w:rFonts w:hAnsi="宋体"/>
        </w:rPr>
        <w:fldChar w:fldCharType="separate"/>
      </w:r>
      <w:r>
        <w:rPr>
          <w:rFonts w:hint="eastAsia" w:ascii="黑体" w:hAnsi="Times New Roman" w:eastAsia="黑体"/>
          <w:i w:val="0"/>
        </w:rPr>
        <w:t xml:space="preserve">8.1 </w:t>
      </w:r>
      <w:r>
        <w:rPr>
          <w:rFonts w:hint="eastAsia" w:hAnsi="黑体"/>
        </w:rPr>
        <w:t>公开信息</w:t>
      </w:r>
      <w:r>
        <w:tab/>
      </w:r>
      <w:r>
        <w:fldChar w:fldCharType="begin"/>
      </w:r>
      <w:r>
        <w:instrText xml:space="preserve"> PAGEREF _Toc15138 \h </w:instrText>
      </w:r>
      <w:r>
        <w:fldChar w:fldCharType="separate"/>
      </w:r>
      <w:r>
        <w:t>8</w:t>
      </w:r>
      <w:r>
        <w:fldChar w:fldCharType="end"/>
      </w:r>
      <w:r>
        <w:rPr>
          <w:rFonts w:hAnsi="宋体"/>
        </w:rPr>
        <w:fldChar w:fldCharType="end"/>
      </w:r>
    </w:p>
    <w:p w14:paraId="3F7FECC7">
      <w:pPr>
        <w:pStyle w:val="24"/>
        <w:tabs>
          <w:tab w:val="right" w:leader="dot" w:pos="9071"/>
          <w:tab w:val="clear" w:pos="9241"/>
        </w:tabs>
      </w:pPr>
      <w:r>
        <w:rPr>
          <w:rFonts w:hAnsi="宋体"/>
        </w:rPr>
        <w:fldChar w:fldCharType="begin"/>
      </w:r>
      <w:r>
        <w:rPr>
          <w:rFonts w:hAnsi="宋体"/>
        </w:rPr>
        <w:instrText xml:space="preserve"> HYPERLINK \l _Toc2843 </w:instrText>
      </w:r>
      <w:r>
        <w:rPr>
          <w:rFonts w:hAnsi="宋体"/>
        </w:rPr>
        <w:fldChar w:fldCharType="separate"/>
      </w:r>
      <w:r>
        <w:rPr>
          <w:rFonts w:hint="eastAsia" w:ascii="黑体" w:hAnsi="Times New Roman" w:eastAsia="黑体"/>
          <w:i w:val="0"/>
        </w:rPr>
        <w:t xml:space="preserve">8.2 </w:t>
      </w:r>
      <w:r>
        <w:rPr>
          <w:rFonts w:hint="eastAsia" w:hAnsi="黑体"/>
        </w:rPr>
        <w:t>认证文件</w:t>
      </w:r>
      <w:r>
        <w:tab/>
      </w:r>
      <w:r>
        <w:fldChar w:fldCharType="begin"/>
      </w:r>
      <w:r>
        <w:instrText xml:space="preserve"> PAGEREF _Toc2843 \h </w:instrText>
      </w:r>
      <w:r>
        <w:fldChar w:fldCharType="separate"/>
      </w:r>
      <w:r>
        <w:t>8</w:t>
      </w:r>
      <w:r>
        <w:fldChar w:fldCharType="end"/>
      </w:r>
      <w:r>
        <w:rPr>
          <w:rFonts w:hAnsi="宋体"/>
        </w:rPr>
        <w:fldChar w:fldCharType="end"/>
      </w:r>
    </w:p>
    <w:p w14:paraId="7E5F45E9">
      <w:pPr>
        <w:pStyle w:val="24"/>
        <w:tabs>
          <w:tab w:val="right" w:leader="dot" w:pos="9071"/>
          <w:tab w:val="clear" w:pos="9241"/>
        </w:tabs>
      </w:pPr>
      <w:r>
        <w:rPr>
          <w:rFonts w:hAnsi="宋体"/>
        </w:rPr>
        <w:fldChar w:fldCharType="begin"/>
      </w:r>
      <w:r>
        <w:rPr>
          <w:rFonts w:hAnsi="宋体"/>
        </w:rPr>
        <w:instrText xml:space="preserve"> HYPERLINK \l _Toc12402 </w:instrText>
      </w:r>
      <w:r>
        <w:rPr>
          <w:rFonts w:hAnsi="宋体"/>
        </w:rPr>
        <w:fldChar w:fldCharType="separate"/>
      </w:r>
      <w:r>
        <w:rPr>
          <w:rFonts w:hint="eastAsia" w:ascii="黑体" w:hAnsi="Times New Roman" w:eastAsia="黑体"/>
          <w:i w:val="0"/>
        </w:rPr>
        <w:t xml:space="preserve">8.3 </w:t>
      </w:r>
      <w:r>
        <w:rPr>
          <w:rFonts w:hint="eastAsia" w:hAnsi="黑体"/>
        </w:rPr>
        <w:t>认证的引用和标志的使用</w:t>
      </w:r>
      <w:r>
        <w:tab/>
      </w:r>
      <w:r>
        <w:fldChar w:fldCharType="begin"/>
      </w:r>
      <w:r>
        <w:instrText xml:space="preserve"> PAGEREF _Toc12402 \h </w:instrText>
      </w:r>
      <w:r>
        <w:fldChar w:fldCharType="separate"/>
      </w:r>
      <w:r>
        <w:t>8</w:t>
      </w:r>
      <w:r>
        <w:fldChar w:fldCharType="end"/>
      </w:r>
      <w:r>
        <w:rPr>
          <w:rFonts w:hAnsi="宋体"/>
        </w:rPr>
        <w:fldChar w:fldCharType="end"/>
      </w:r>
    </w:p>
    <w:p w14:paraId="38E3E976">
      <w:pPr>
        <w:pStyle w:val="24"/>
        <w:tabs>
          <w:tab w:val="right" w:leader="dot" w:pos="9071"/>
          <w:tab w:val="clear" w:pos="9241"/>
        </w:tabs>
      </w:pPr>
      <w:r>
        <w:rPr>
          <w:rFonts w:hAnsi="宋体"/>
        </w:rPr>
        <w:fldChar w:fldCharType="begin"/>
      </w:r>
      <w:r>
        <w:rPr>
          <w:rFonts w:hAnsi="宋体"/>
        </w:rPr>
        <w:instrText xml:space="preserve"> HYPERLINK \l _Toc18906 </w:instrText>
      </w:r>
      <w:r>
        <w:rPr>
          <w:rFonts w:hAnsi="宋体"/>
        </w:rPr>
        <w:fldChar w:fldCharType="separate"/>
      </w:r>
      <w:r>
        <w:rPr>
          <w:rFonts w:hint="eastAsia" w:ascii="黑体" w:hAnsi="Times New Roman" w:eastAsia="黑体"/>
          <w:i w:val="0"/>
        </w:rPr>
        <w:t xml:space="preserve">8.4 </w:t>
      </w:r>
      <w:r>
        <w:rPr>
          <w:rFonts w:hint="eastAsia" w:hAnsi="黑体"/>
        </w:rPr>
        <w:t>保密</w:t>
      </w:r>
      <w:r>
        <w:tab/>
      </w:r>
      <w:r>
        <w:fldChar w:fldCharType="begin"/>
      </w:r>
      <w:r>
        <w:instrText xml:space="preserve"> PAGEREF _Toc18906 \h </w:instrText>
      </w:r>
      <w:r>
        <w:fldChar w:fldCharType="separate"/>
      </w:r>
      <w:r>
        <w:t>8</w:t>
      </w:r>
      <w:r>
        <w:fldChar w:fldCharType="end"/>
      </w:r>
      <w:r>
        <w:rPr>
          <w:rFonts w:hAnsi="宋体"/>
        </w:rPr>
        <w:fldChar w:fldCharType="end"/>
      </w:r>
    </w:p>
    <w:p w14:paraId="48A6B619">
      <w:pPr>
        <w:pStyle w:val="24"/>
        <w:tabs>
          <w:tab w:val="right" w:leader="dot" w:pos="9071"/>
          <w:tab w:val="clear" w:pos="9241"/>
        </w:tabs>
      </w:pPr>
      <w:r>
        <w:rPr>
          <w:rFonts w:hAnsi="宋体"/>
        </w:rPr>
        <w:fldChar w:fldCharType="begin"/>
      </w:r>
      <w:r>
        <w:rPr>
          <w:rFonts w:hAnsi="宋体"/>
        </w:rPr>
        <w:instrText xml:space="preserve"> HYPERLINK \l _Toc17863 </w:instrText>
      </w:r>
      <w:r>
        <w:rPr>
          <w:rFonts w:hAnsi="宋体"/>
        </w:rPr>
        <w:fldChar w:fldCharType="separate"/>
      </w:r>
      <w:r>
        <w:rPr>
          <w:rFonts w:hint="eastAsia" w:ascii="黑体" w:hAnsi="Times New Roman" w:eastAsia="黑体"/>
          <w:i w:val="0"/>
        </w:rPr>
        <w:t xml:space="preserve">8.5 </w:t>
      </w:r>
      <w:r>
        <w:rPr>
          <w:rFonts w:hint="eastAsia" w:hAnsi="黑体"/>
        </w:rPr>
        <w:t>认证机构与其客户间的信息交换</w:t>
      </w:r>
      <w:r>
        <w:tab/>
      </w:r>
      <w:r>
        <w:fldChar w:fldCharType="begin"/>
      </w:r>
      <w:r>
        <w:instrText xml:space="preserve"> PAGEREF _Toc17863 \h </w:instrText>
      </w:r>
      <w:r>
        <w:fldChar w:fldCharType="separate"/>
      </w:r>
      <w:r>
        <w:t>8</w:t>
      </w:r>
      <w:r>
        <w:fldChar w:fldCharType="end"/>
      </w:r>
      <w:r>
        <w:rPr>
          <w:rFonts w:hAnsi="宋体"/>
        </w:rPr>
        <w:fldChar w:fldCharType="end"/>
      </w:r>
    </w:p>
    <w:p w14:paraId="78A6DA16">
      <w:pPr>
        <w:pStyle w:val="41"/>
        <w:tabs>
          <w:tab w:val="right" w:leader="dot" w:pos="9071"/>
          <w:tab w:val="clear" w:pos="9241"/>
        </w:tabs>
      </w:pPr>
      <w:r>
        <w:rPr>
          <w:rFonts w:hAnsi="宋体"/>
        </w:rPr>
        <w:fldChar w:fldCharType="begin"/>
      </w:r>
      <w:r>
        <w:rPr>
          <w:rFonts w:hAnsi="宋体"/>
        </w:rPr>
        <w:instrText xml:space="preserve"> HYPERLINK \l _Toc3138 </w:instrText>
      </w:r>
      <w:r>
        <w:rPr>
          <w:rFonts w:hAnsi="宋体"/>
        </w:rPr>
        <w:fldChar w:fldCharType="separate"/>
      </w:r>
      <w:r>
        <w:rPr>
          <w:rFonts w:hint="eastAsia" w:ascii="黑体" w:hAnsi="Times New Roman" w:eastAsia="黑体"/>
          <w:i w:val="0"/>
        </w:rPr>
        <w:t xml:space="preserve">9 </w:t>
      </w:r>
      <w:r>
        <w:rPr>
          <w:rFonts w:hint="eastAsia"/>
        </w:rPr>
        <w:t>过程要求</w:t>
      </w:r>
      <w:r>
        <w:tab/>
      </w:r>
      <w:r>
        <w:fldChar w:fldCharType="begin"/>
      </w:r>
      <w:r>
        <w:instrText xml:space="preserve"> PAGEREF _Toc3138 \h </w:instrText>
      </w:r>
      <w:r>
        <w:fldChar w:fldCharType="separate"/>
      </w:r>
      <w:r>
        <w:t>8</w:t>
      </w:r>
      <w:r>
        <w:fldChar w:fldCharType="end"/>
      </w:r>
      <w:r>
        <w:rPr>
          <w:rFonts w:hAnsi="宋体"/>
        </w:rPr>
        <w:fldChar w:fldCharType="end"/>
      </w:r>
    </w:p>
    <w:p w14:paraId="201371EE">
      <w:pPr>
        <w:pStyle w:val="24"/>
        <w:tabs>
          <w:tab w:val="right" w:leader="dot" w:pos="9071"/>
          <w:tab w:val="clear" w:pos="9241"/>
        </w:tabs>
      </w:pPr>
      <w:r>
        <w:rPr>
          <w:rFonts w:hAnsi="宋体"/>
        </w:rPr>
        <w:fldChar w:fldCharType="begin"/>
      </w:r>
      <w:r>
        <w:rPr>
          <w:rFonts w:hAnsi="宋体"/>
        </w:rPr>
        <w:instrText xml:space="preserve"> HYPERLINK \l _Toc4605 </w:instrText>
      </w:r>
      <w:r>
        <w:rPr>
          <w:rFonts w:hAnsi="宋体"/>
        </w:rPr>
        <w:fldChar w:fldCharType="separate"/>
      </w:r>
      <w:r>
        <w:rPr>
          <w:rFonts w:hint="eastAsia" w:ascii="黑体" w:hAnsi="Times New Roman" w:eastAsia="黑体"/>
          <w:i w:val="0"/>
        </w:rPr>
        <w:t xml:space="preserve">9.1 </w:t>
      </w:r>
      <w:r>
        <w:rPr>
          <w:rFonts w:hint="eastAsia" w:hAnsi="黑体"/>
        </w:rPr>
        <w:t>认证前的活动</w:t>
      </w:r>
      <w:r>
        <w:tab/>
      </w:r>
      <w:r>
        <w:fldChar w:fldCharType="begin"/>
      </w:r>
      <w:r>
        <w:instrText xml:space="preserve"> PAGEREF _Toc4605 \h </w:instrText>
      </w:r>
      <w:r>
        <w:fldChar w:fldCharType="separate"/>
      </w:r>
      <w:r>
        <w:t>9</w:t>
      </w:r>
      <w:r>
        <w:fldChar w:fldCharType="end"/>
      </w:r>
      <w:r>
        <w:rPr>
          <w:rFonts w:hAnsi="宋体"/>
        </w:rPr>
        <w:fldChar w:fldCharType="end"/>
      </w:r>
    </w:p>
    <w:p w14:paraId="6B63F516">
      <w:pPr>
        <w:pStyle w:val="24"/>
        <w:tabs>
          <w:tab w:val="right" w:leader="dot" w:pos="9071"/>
          <w:tab w:val="clear" w:pos="9241"/>
        </w:tabs>
      </w:pPr>
      <w:r>
        <w:rPr>
          <w:rFonts w:hAnsi="宋体"/>
        </w:rPr>
        <w:fldChar w:fldCharType="begin"/>
      </w:r>
      <w:r>
        <w:rPr>
          <w:rFonts w:hAnsi="宋体"/>
        </w:rPr>
        <w:instrText xml:space="preserve"> HYPERLINK \l _Toc7542 </w:instrText>
      </w:r>
      <w:r>
        <w:rPr>
          <w:rFonts w:hAnsi="宋体"/>
        </w:rPr>
        <w:fldChar w:fldCharType="separate"/>
      </w:r>
      <w:r>
        <w:rPr>
          <w:rFonts w:hint="eastAsia" w:ascii="黑体" w:hAnsi="Times New Roman" w:eastAsia="黑体"/>
          <w:i w:val="0"/>
        </w:rPr>
        <w:t xml:space="preserve">9.2 </w:t>
      </w:r>
      <w:r>
        <w:rPr>
          <w:rFonts w:hint="eastAsia" w:hAnsi="黑体"/>
        </w:rPr>
        <w:t>策划审核</w:t>
      </w:r>
      <w:r>
        <w:tab/>
      </w:r>
      <w:r>
        <w:fldChar w:fldCharType="begin"/>
      </w:r>
      <w:r>
        <w:instrText xml:space="preserve"> PAGEREF _Toc7542 \h </w:instrText>
      </w:r>
      <w:r>
        <w:fldChar w:fldCharType="separate"/>
      </w:r>
      <w:r>
        <w:t>11</w:t>
      </w:r>
      <w:r>
        <w:fldChar w:fldCharType="end"/>
      </w:r>
      <w:r>
        <w:rPr>
          <w:rFonts w:hAnsi="宋体"/>
        </w:rPr>
        <w:fldChar w:fldCharType="end"/>
      </w:r>
    </w:p>
    <w:p w14:paraId="0D26DC50">
      <w:pPr>
        <w:pStyle w:val="24"/>
        <w:tabs>
          <w:tab w:val="right" w:leader="dot" w:pos="9071"/>
          <w:tab w:val="clear" w:pos="9241"/>
        </w:tabs>
      </w:pPr>
      <w:r>
        <w:rPr>
          <w:rFonts w:hAnsi="宋体"/>
        </w:rPr>
        <w:fldChar w:fldCharType="begin"/>
      </w:r>
      <w:r>
        <w:rPr>
          <w:rFonts w:hAnsi="宋体"/>
        </w:rPr>
        <w:instrText xml:space="preserve"> HYPERLINK \l _Toc27771 </w:instrText>
      </w:r>
      <w:r>
        <w:rPr>
          <w:rFonts w:hAnsi="宋体"/>
        </w:rPr>
        <w:fldChar w:fldCharType="separate"/>
      </w:r>
      <w:r>
        <w:rPr>
          <w:rFonts w:hint="eastAsia" w:ascii="黑体" w:hAnsi="Times New Roman" w:eastAsia="黑体"/>
          <w:i w:val="0"/>
        </w:rPr>
        <w:t xml:space="preserve">9.3 </w:t>
      </w:r>
      <w:r>
        <w:rPr>
          <w:rFonts w:hint="eastAsia" w:hAnsi="黑体"/>
        </w:rPr>
        <w:t>初次认证</w:t>
      </w:r>
      <w:r>
        <w:tab/>
      </w:r>
      <w:r>
        <w:fldChar w:fldCharType="begin"/>
      </w:r>
      <w:r>
        <w:instrText xml:space="preserve"> PAGEREF _Toc27771 \h </w:instrText>
      </w:r>
      <w:r>
        <w:fldChar w:fldCharType="separate"/>
      </w:r>
      <w:r>
        <w:t>12</w:t>
      </w:r>
      <w:r>
        <w:fldChar w:fldCharType="end"/>
      </w:r>
      <w:r>
        <w:rPr>
          <w:rFonts w:hAnsi="宋体"/>
        </w:rPr>
        <w:fldChar w:fldCharType="end"/>
      </w:r>
    </w:p>
    <w:p w14:paraId="4D99A1BD">
      <w:pPr>
        <w:pStyle w:val="24"/>
        <w:tabs>
          <w:tab w:val="right" w:leader="dot" w:pos="9071"/>
          <w:tab w:val="clear" w:pos="9241"/>
        </w:tabs>
      </w:pPr>
      <w:r>
        <w:rPr>
          <w:rFonts w:hAnsi="宋体"/>
        </w:rPr>
        <w:fldChar w:fldCharType="begin"/>
      </w:r>
      <w:r>
        <w:rPr>
          <w:rFonts w:hAnsi="宋体"/>
        </w:rPr>
        <w:instrText xml:space="preserve"> HYPERLINK \l _Toc5326 </w:instrText>
      </w:r>
      <w:r>
        <w:rPr>
          <w:rFonts w:hAnsi="宋体"/>
        </w:rPr>
        <w:fldChar w:fldCharType="separate"/>
      </w:r>
      <w:r>
        <w:rPr>
          <w:rFonts w:hint="eastAsia" w:ascii="黑体" w:hAnsi="Times New Roman" w:eastAsia="黑体"/>
          <w:i w:val="0"/>
        </w:rPr>
        <w:t xml:space="preserve">9.4 </w:t>
      </w:r>
      <w:r>
        <w:rPr>
          <w:rFonts w:hint="eastAsia" w:hAnsi="黑体"/>
        </w:rPr>
        <w:t>实施审核</w:t>
      </w:r>
      <w:r>
        <w:tab/>
      </w:r>
      <w:r>
        <w:fldChar w:fldCharType="begin"/>
      </w:r>
      <w:r>
        <w:instrText xml:space="preserve"> PAGEREF _Toc5326 \h </w:instrText>
      </w:r>
      <w:r>
        <w:fldChar w:fldCharType="separate"/>
      </w:r>
      <w:r>
        <w:t>13</w:t>
      </w:r>
      <w:r>
        <w:fldChar w:fldCharType="end"/>
      </w:r>
      <w:r>
        <w:rPr>
          <w:rFonts w:hAnsi="宋体"/>
        </w:rPr>
        <w:fldChar w:fldCharType="end"/>
      </w:r>
    </w:p>
    <w:p w14:paraId="45F7B946">
      <w:pPr>
        <w:pStyle w:val="24"/>
        <w:tabs>
          <w:tab w:val="right" w:leader="dot" w:pos="9071"/>
          <w:tab w:val="clear" w:pos="9241"/>
        </w:tabs>
      </w:pPr>
      <w:r>
        <w:rPr>
          <w:rFonts w:hAnsi="宋体"/>
        </w:rPr>
        <w:fldChar w:fldCharType="begin"/>
      </w:r>
      <w:r>
        <w:rPr>
          <w:rFonts w:hAnsi="宋体"/>
        </w:rPr>
        <w:instrText xml:space="preserve"> HYPERLINK \l _Toc24218 </w:instrText>
      </w:r>
      <w:r>
        <w:rPr>
          <w:rFonts w:hAnsi="宋体"/>
        </w:rPr>
        <w:fldChar w:fldCharType="separate"/>
      </w:r>
      <w:r>
        <w:rPr>
          <w:rFonts w:hint="eastAsia" w:ascii="黑体" w:hAnsi="Times New Roman" w:eastAsia="黑体"/>
          <w:i w:val="0"/>
        </w:rPr>
        <w:t xml:space="preserve">9.5 </w:t>
      </w:r>
      <w:r>
        <w:rPr>
          <w:rFonts w:hAnsi="黑体"/>
        </w:rPr>
        <w:t>认证决定</w:t>
      </w:r>
      <w:r>
        <w:tab/>
      </w:r>
      <w:r>
        <w:fldChar w:fldCharType="begin"/>
      </w:r>
      <w:r>
        <w:instrText xml:space="preserve"> PAGEREF _Toc24218 \h </w:instrText>
      </w:r>
      <w:r>
        <w:fldChar w:fldCharType="separate"/>
      </w:r>
      <w:r>
        <w:t>13</w:t>
      </w:r>
      <w:r>
        <w:fldChar w:fldCharType="end"/>
      </w:r>
      <w:r>
        <w:rPr>
          <w:rFonts w:hAnsi="宋体"/>
        </w:rPr>
        <w:fldChar w:fldCharType="end"/>
      </w:r>
    </w:p>
    <w:p w14:paraId="772524FB">
      <w:pPr>
        <w:pStyle w:val="24"/>
        <w:tabs>
          <w:tab w:val="right" w:leader="dot" w:pos="9071"/>
          <w:tab w:val="clear" w:pos="9241"/>
        </w:tabs>
      </w:pPr>
      <w:r>
        <w:rPr>
          <w:rFonts w:hAnsi="宋体"/>
        </w:rPr>
        <w:fldChar w:fldCharType="begin"/>
      </w:r>
      <w:r>
        <w:rPr>
          <w:rFonts w:hAnsi="宋体"/>
        </w:rPr>
        <w:instrText xml:space="preserve"> HYPERLINK \l _Toc28700 </w:instrText>
      </w:r>
      <w:r>
        <w:rPr>
          <w:rFonts w:hAnsi="宋体"/>
        </w:rPr>
        <w:fldChar w:fldCharType="separate"/>
      </w:r>
      <w:r>
        <w:rPr>
          <w:rFonts w:hint="eastAsia" w:ascii="黑体" w:hAnsi="Times New Roman" w:eastAsia="黑体"/>
          <w:i w:val="0"/>
        </w:rPr>
        <w:t xml:space="preserve">9.6 </w:t>
      </w:r>
      <w:r>
        <w:rPr>
          <w:rFonts w:hint="eastAsia" w:hAnsi="黑体"/>
        </w:rPr>
        <w:t>保持认证</w:t>
      </w:r>
      <w:r>
        <w:tab/>
      </w:r>
      <w:r>
        <w:fldChar w:fldCharType="begin"/>
      </w:r>
      <w:r>
        <w:instrText xml:space="preserve"> PAGEREF _Toc28700 \h </w:instrText>
      </w:r>
      <w:r>
        <w:fldChar w:fldCharType="separate"/>
      </w:r>
      <w:r>
        <w:t>14</w:t>
      </w:r>
      <w:r>
        <w:fldChar w:fldCharType="end"/>
      </w:r>
      <w:r>
        <w:rPr>
          <w:rFonts w:hAnsi="宋体"/>
        </w:rPr>
        <w:fldChar w:fldCharType="end"/>
      </w:r>
    </w:p>
    <w:p w14:paraId="0F101F2E">
      <w:pPr>
        <w:pStyle w:val="24"/>
        <w:tabs>
          <w:tab w:val="right" w:leader="dot" w:pos="9071"/>
          <w:tab w:val="clear" w:pos="9241"/>
        </w:tabs>
      </w:pPr>
      <w:r>
        <w:rPr>
          <w:rFonts w:hAnsi="宋体"/>
        </w:rPr>
        <w:fldChar w:fldCharType="begin"/>
      </w:r>
      <w:r>
        <w:rPr>
          <w:rFonts w:hAnsi="宋体"/>
        </w:rPr>
        <w:instrText xml:space="preserve"> HYPERLINK \l _Toc2394 </w:instrText>
      </w:r>
      <w:r>
        <w:rPr>
          <w:rFonts w:hAnsi="宋体"/>
        </w:rPr>
        <w:fldChar w:fldCharType="separate"/>
      </w:r>
      <w:r>
        <w:rPr>
          <w:rFonts w:hint="eastAsia" w:ascii="黑体" w:hAnsi="Times New Roman" w:eastAsia="黑体"/>
          <w:i w:val="0"/>
        </w:rPr>
        <w:t xml:space="preserve">9.7 </w:t>
      </w:r>
      <w:r>
        <w:rPr>
          <w:rFonts w:hint="eastAsia" w:hAnsi="黑体"/>
        </w:rPr>
        <w:t>申诉</w:t>
      </w:r>
      <w:r>
        <w:tab/>
      </w:r>
      <w:r>
        <w:fldChar w:fldCharType="begin"/>
      </w:r>
      <w:r>
        <w:instrText xml:space="preserve"> PAGEREF _Toc2394 \h </w:instrText>
      </w:r>
      <w:r>
        <w:fldChar w:fldCharType="separate"/>
      </w:r>
      <w:r>
        <w:t>15</w:t>
      </w:r>
      <w:r>
        <w:fldChar w:fldCharType="end"/>
      </w:r>
      <w:r>
        <w:rPr>
          <w:rFonts w:hAnsi="宋体"/>
        </w:rPr>
        <w:fldChar w:fldCharType="end"/>
      </w:r>
    </w:p>
    <w:p w14:paraId="5DAC539D">
      <w:pPr>
        <w:pStyle w:val="24"/>
        <w:tabs>
          <w:tab w:val="right" w:leader="dot" w:pos="9071"/>
          <w:tab w:val="clear" w:pos="9241"/>
        </w:tabs>
      </w:pPr>
      <w:r>
        <w:rPr>
          <w:rFonts w:hAnsi="宋体"/>
        </w:rPr>
        <w:fldChar w:fldCharType="begin"/>
      </w:r>
      <w:r>
        <w:rPr>
          <w:rFonts w:hAnsi="宋体"/>
        </w:rPr>
        <w:instrText xml:space="preserve"> HYPERLINK \l _Toc17665 </w:instrText>
      </w:r>
      <w:r>
        <w:rPr>
          <w:rFonts w:hAnsi="宋体"/>
        </w:rPr>
        <w:fldChar w:fldCharType="separate"/>
      </w:r>
      <w:r>
        <w:rPr>
          <w:rFonts w:hint="eastAsia" w:ascii="黑体" w:hAnsi="Times New Roman" w:eastAsia="黑体"/>
          <w:i w:val="0"/>
        </w:rPr>
        <w:t xml:space="preserve">9.8 </w:t>
      </w:r>
      <w:r>
        <w:rPr>
          <w:rFonts w:hint="eastAsia" w:hAnsi="黑体"/>
        </w:rPr>
        <w:t>投诉</w:t>
      </w:r>
      <w:r>
        <w:tab/>
      </w:r>
      <w:r>
        <w:fldChar w:fldCharType="begin"/>
      </w:r>
      <w:r>
        <w:instrText xml:space="preserve"> PAGEREF _Toc17665 \h </w:instrText>
      </w:r>
      <w:r>
        <w:fldChar w:fldCharType="separate"/>
      </w:r>
      <w:r>
        <w:t>15</w:t>
      </w:r>
      <w:r>
        <w:fldChar w:fldCharType="end"/>
      </w:r>
      <w:r>
        <w:rPr>
          <w:rFonts w:hAnsi="宋体"/>
        </w:rPr>
        <w:fldChar w:fldCharType="end"/>
      </w:r>
    </w:p>
    <w:p w14:paraId="2FBBE365">
      <w:pPr>
        <w:pStyle w:val="24"/>
        <w:tabs>
          <w:tab w:val="right" w:leader="dot" w:pos="9071"/>
          <w:tab w:val="clear" w:pos="9241"/>
        </w:tabs>
      </w:pPr>
      <w:r>
        <w:rPr>
          <w:rFonts w:hAnsi="宋体"/>
        </w:rPr>
        <w:fldChar w:fldCharType="begin"/>
      </w:r>
      <w:r>
        <w:rPr>
          <w:rFonts w:hAnsi="宋体"/>
        </w:rPr>
        <w:instrText xml:space="preserve"> HYPERLINK \l _Toc27092 </w:instrText>
      </w:r>
      <w:r>
        <w:rPr>
          <w:rFonts w:hAnsi="宋体"/>
        </w:rPr>
        <w:fldChar w:fldCharType="separate"/>
      </w:r>
      <w:r>
        <w:rPr>
          <w:rFonts w:hint="eastAsia" w:ascii="黑体" w:hAnsi="Times New Roman" w:eastAsia="黑体"/>
          <w:i w:val="0"/>
        </w:rPr>
        <w:t xml:space="preserve">9.9 </w:t>
      </w:r>
      <w:r>
        <w:rPr>
          <w:rFonts w:hint="eastAsia" w:hAnsi="黑体"/>
        </w:rPr>
        <w:t>客户的记录</w:t>
      </w:r>
      <w:r>
        <w:tab/>
      </w:r>
      <w:r>
        <w:fldChar w:fldCharType="begin"/>
      </w:r>
      <w:r>
        <w:instrText xml:space="preserve"> PAGEREF _Toc27092 \h </w:instrText>
      </w:r>
      <w:r>
        <w:fldChar w:fldCharType="separate"/>
      </w:r>
      <w:r>
        <w:t>15</w:t>
      </w:r>
      <w:r>
        <w:fldChar w:fldCharType="end"/>
      </w:r>
      <w:r>
        <w:rPr>
          <w:rFonts w:hAnsi="宋体"/>
        </w:rPr>
        <w:fldChar w:fldCharType="end"/>
      </w:r>
    </w:p>
    <w:p w14:paraId="52B83994">
      <w:pPr>
        <w:pStyle w:val="41"/>
        <w:tabs>
          <w:tab w:val="right" w:leader="dot" w:pos="9071"/>
          <w:tab w:val="clear" w:pos="9241"/>
        </w:tabs>
      </w:pPr>
      <w:r>
        <w:rPr>
          <w:rFonts w:hAnsi="宋体"/>
        </w:rPr>
        <w:fldChar w:fldCharType="begin"/>
      </w:r>
      <w:r>
        <w:rPr>
          <w:rFonts w:hAnsi="宋体"/>
        </w:rPr>
        <w:instrText xml:space="preserve"> HYPERLINK \l _Toc27187 </w:instrText>
      </w:r>
      <w:r>
        <w:rPr>
          <w:rFonts w:hAnsi="宋体"/>
        </w:rPr>
        <w:fldChar w:fldCharType="separate"/>
      </w:r>
      <w:r>
        <w:rPr>
          <w:rFonts w:hint="eastAsia" w:ascii="黑体" w:hAnsi="Times New Roman" w:eastAsia="黑体"/>
          <w:i w:val="0"/>
        </w:rPr>
        <w:t xml:space="preserve">10 </w:t>
      </w:r>
      <w:r>
        <w:rPr>
          <w:rFonts w:hint="eastAsia"/>
        </w:rPr>
        <w:t>认证机构的管理体系要求</w:t>
      </w:r>
      <w:r>
        <w:tab/>
      </w:r>
      <w:r>
        <w:fldChar w:fldCharType="begin"/>
      </w:r>
      <w:r>
        <w:instrText xml:space="preserve"> PAGEREF _Toc27187 \h </w:instrText>
      </w:r>
      <w:r>
        <w:fldChar w:fldCharType="separate"/>
      </w:r>
      <w:r>
        <w:t>15</w:t>
      </w:r>
      <w:r>
        <w:fldChar w:fldCharType="end"/>
      </w:r>
      <w:r>
        <w:rPr>
          <w:rFonts w:hAnsi="宋体"/>
        </w:rPr>
        <w:fldChar w:fldCharType="end"/>
      </w:r>
    </w:p>
    <w:p w14:paraId="673C6D08">
      <w:pPr>
        <w:pStyle w:val="24"/>
        <w:tabs>
          <w:tab w:val="right" w:leader="dot" w:pos="9071"/>
          <w:tab w:val="clear" w:pos="9241"/>
        </w:tabs>
      </w:pPr>
      <w:r>
        <w:rPr>
          <w:rFonts w:hAnsi="宋体"/>
        </w:rPr>
        <w:fldChar w:fldCharType="begin"/>
      </w:r>
      <w:r>
        <w:rPr>
          <w:rFonts w:hAnsi="宋体"/>
        </w:rPr>
        <w:instrText xml:space="preserve"> HYPERLINK \l _Toc31229 </w:instrText>
      </w:r>
      <w:r>
        <w:rPr>
          <w:rFonts w:hAnsi="宋体"/>
        </w:rPr>
        <w:fldChar w:fldCharType="separate"/>
      </w:r>
      <w:r>
        <w:rPr>
          <w:rFonts w:hint="eastAsia" w:ascii="黑体" w:hAnsi="Times New Roman" w:eastAsia="黑体"/>
          <w:i w:val="0"/>
        </w:rPr>
        <w:t xml:space="preserve">10.1 </w:t>
      </w:r>
      <w:r>
        <w:rPr>
          <w:rFonts w:hint="eastAsia" w:hAnsi="黑体"/>
        </w:rPr>
        <w:t>可选方式</w:t>
      </w:r>
      <w:r>
        <w:tab/>
      </w:r>
      <w:r>
        <w:fldChar w:fldCharType="begin"/>
      </w:r>
      <w:r>
        <w:instrText xml:space="preserve"> PAGEREF _Toc31229 \h </w:instrText>
      </w:r>
      <w:r>
        <w:fldChar w:fldCharType="separate"/>
      </w:r>
      <w:r>
        <w:t>15</w:t>
      </w:r>
      <w:r>
        <w:fldChar w:fldCharType="end"/>
      </w:r>
      <w:r>
        <w:rPr>
          <w:rFonts w:hAnsi="宋体"/>
        </w:rPr>
        <w:fldChar w:fldCharType="end"/>
      </w:r>
    </w:p>
    <w:p w14:paraId="42782456">
      <w:pPr>
        <w:pStyle w:val="24"/>
        <w:tabs>
          <w:tab w:val="right" w:leader="dot" w:pos="9071"/>
          <w:tab w:val="clear" w:pos="9241"/>
        </w:tabs>
      </w:pPr>
      <w:r>
        <w:rPr>
          <w:rFonts w:hAnsi="宋体"/>
        </w:rPr>
        <w:fldChar w:fldCharType="begin"/>
      </w:r>
      <w:r>
        <w:rPr>
          <w:rFonts w:hAnsi="宋体"/>
        </w:rPr>
        <w:instrText xml:space="preserve"> HYPERLINK \l _Toc16285 </w:instrText>
      </w:r>
      <w:r>
        <w:rPr>
          <w:rFonts w:hAnsi="宋体"/>
        </w:rPr>
        <w:fldChar w:fldCharType="separate"/>
      </w:r>
      <w:r>
        <w:rPr>
          <w:rFonts w:hint="eastAsia" w:ascii="黑体" w:hAnsi="Times New Roman" w:eastAsia="黑体"/>
          <w:i w:val="0"/>
          <w:lang w:val="de-DE"/>
        </w:rPr>
        <w:t xml:space="preserve">10.2 </w:t>
      </w:r>
      <w:r>
        <w:rPr>
          <w:rFonts w:hint="eastAsia" w:hAnsi="黑体"/>
        </w:rPr>
        <w:t>方式</w:t>
      </w:r>
      <w:r>
        <w:rPr>
          <w:rFonts w:hint="eastAsia" w:hAnsi="黑体"/>
          <w:lang w:val="de-DE"/>
        </w:rPr>
        <w:t>A：</w:t>
      </w:r>
      <w:r>
        <w:rPr>
          <w:rFonts w:hint="eastAsia" w:hAnsi="黑体"/>
        </w:rPr>
        <w:t>通用的管理体系要求</w:t>
      </w:r>
      <w:r>
        <w:tab/>
      </w:r>
      <w:r>
        <w:fldChar w:fldCharType="begin"/>
      </w:r>
      <w:r>
        <w:instrText xml:space="preserve"> PAGEREF _Toc16285 \h </w:instrText>
      </w:r>
      <w:r>
        <w:fldChar w:fldCharType="separate"/>
      </w:r>
      <w:r>
        <w:t>15</w:t>
      </w:r>
      <w:r>
        <w:fldChar w:fldCharType="end"/>
      </w:r>
      <w:r>
        <w:rPr>
          <w:rFonts w:hAnsi="宋体"/>
        </w:rPr>
        <w:fldChar w:fldCharType="end"/>
      </w:r>
    </w:p>
    <w:p w14:paraId="4B9F679F">
      <w:pPr>
        <w:pStyle w:val="24"/>
        <w:tabs>
          <w:tab w:val="right" w:leader="dot" w:pos="9071"/>
          <w:tab w:val="clear" w:pos="9241"/>
        </w:tabs>
      </w:pPr>
      <w:r>
        <w:rPr>
          <w:rFonts w:hAnsi="宋体"/>
        </w:rPr>
        <w:fldChar w:fldCharType="begin"/>
      </w:r>
      <w:r>
        <w:rPr>
          <w:rFonts w:hAnsi="宋体"/>
        </w:rPr>
        <w:instrText xml:space="preserve"> HYPERLINK \l _Toc22708 </w:instrText>
      </w:r>
      <w:r>
        <w:rPr>
          <w:rFonts w:hAnsi="宋体"/>
        </w:rPr>
        <w:fldChar w:fldCharType="separate"/>
      </w:r>
      <w:r>
        <w:rPr>
          <w:rFonts w:hint="eastAsia" w:ascii="黑体" w:hAnsi="Times New Roman" w:eastAsia="黑体"/>
          <w:i w:val="0"/>
          <w:lang w:val="de-DE"/>
        </w:rPr>
        <w:t xml:space="preserve">10.3 </w:t>
      </w:r>
      <w:r>
        <w:rPr>
          <w:rFonts w:hint="eastAsia" w:hAnsi="黑体"/>
        </w:rPr>
        <w:t>方式</w:t>
      </w:r>
      <w:r>
        <w:rPr>
          <w:rFonts w:hint="eastAsia" w:hAnsi="黑体"/>
          <w:lang w:val="de-DE"/>
        </w:rPr>
        <w:t>B：</w:t>
      </w:r>
      <w:r>
        <w:rPr>
          <w:rFonts w:hint="eastAsia" w:hAnsi="黑体"/>
        </w:rPr>
        <w:t>与</w:t>
      </w:r>
      <w:r>
        <w:rPr>
          <w:rFonts w:hint="eastAsia" w:hAnsi="黑体"/>
          <w:lang w:val="en-US" w:eastAsia="zh-CN"/>
        </w:rPr>
        <w:t xml:space="preserve">ISO </w:t>
      </w:r>
      <w:r>
        <w:rPr>
          <w:rFonts w:hint="eastAsia" w:hAnsi="黑体"/>
          <w:lang w:val="de-DE"/>
        </w:rPr>
        <w:t>9001</w:t>
      </w:r>
      <w:r>
        <w:rPr>
          <w:rFonts w:hint="eastAsia" w:hAnsi="黑体"/>
        </w:rPr>
        <w:t>一致的管理体系要求</w:t>
      </w:r>
      <w:r>
        <w:tab/>
      </w:r>
      <w:r>
        <w:fldChar w:fldCharType="begin"/>
      </w:r>
      <w:r>
        <w:instrText xml:space="preserve"> PAGEREF _Toc22708 \h </w:instrText>
      </w:r>
      <w:r>
        <w:fldChar w:fldCharType="separate"/>
      </w:r>
      <w:r>
        <w:t>15</w:t>
      </w:r>
      <w:r>
        <w:fldChar w:fldCharType="end"/>
      </w:r>
      <w:r>
        <w:rPr>
          <w:rFonts w:hAnsi="宋体"/>
        </w:rPr>
        <w:fldChar w:fldCharType="end"/>
      </w:r>
    </w:p>
    <w:p w14:paraId="5ADF52B5">
      <w:pPr>
        <w:pStyle w:val="32"/>
        <w:tabs>
          <w:tab w:val="right" w:leader="dot" w:pos="9071"/>
          <w:tab w:val="clear" w:pos="9241"/>
        </w:tabs>
      </w:pPr>
      <w:r>
        <w:rPr>
          <w:rFonts w:hAnsi="宋体"/>
        </w:rPr>
        <w:fldChar w:fldCharType="begin"/>
      </w:r>
      <w:r>
        <w:rPr>
          <w:rFonts w:hAnsi="宋体"/>
        </w:rPr>
        <w:instrText xml:space="preserve"> HYPERLINK \l _Toc13496 </w:instrText>
      </w:r>
      <w:r>
        <w:rPr>
          <w:rFonts w:hAnsi="宋体"/>
        </w:rPr>
        <w:fldChar w:fldCharType="separate"/>
      </w:r>
      <w:r>
        <w:rPr>
          <w:rFonts w:hint="eastAsia" w:hAnsi="黑体"/>
          <w:szCs w:val="21"/>
        </w:rPr>
        <w:t>附录A</w:t>
      </w:r>
      <w:r>
        <w:rPr>
          <w:rFonts w:hAnsi="宋体"/>
        </w:rPr>
        <w:fldChar w:fldCharType="end"/>
      </w:r>
      <w:r>
        <w:rPr>
          <w:rFonts w:hAnsi="宋体"/>
        </w:rPr>
        <w:fldChar w:fldCharType="begin"/>
      </w:r>
      <w:r>
        <w:rPr>
          <w:rFonts w:hAnsi="宋体"/>
        </w:rPr>
        <w:instrText xml:space="preserve"> HYPERLINK \l _Toc15168 </w:instrText>
      </w:r>
      <w:r>
        <w:rPr>
          <w:rFonts w:hAnsi="宋体"/>
        </w:rPr>
        <w:fldChar w:fldCharType="separate"/>
      </w:r>
      <w:r>
        <w:rPr>
          <w:rFonts w:hint="eastAsia" w:hAnsi="黑体"/>
          <w:szCs w:val="21"/>
        </w:rPr>
        <w:t>（规范性）</w:t>
      </w:r>
      <w:r>
        <w:rPr>
          <w:rFonts w:hAnsi="宋体"/>
        </w:rPr>
        <w:fldChar w:fldCharType="end"/>
      </w:r>
      <w:r>
        <w:rPr>
          <w:rFonts w:hAnsi="宋体"/>
        </w:rPr>
        <w:fldChar w:fldCharType="begin"/>
      </w:r>
      <w:r>
        <w:rPr>
          <w:rFonts w:hAnsi="宋体"/>
        </w:rPr>
        <w:instrText xml:space="preserve"> HYPERLINK \l _Toc26268 </w:instrText>
      </w:r>
      <w:r>
        <w:rPr>
          <w:rFonts w:hAnsi="宋体"/>
        </w:rPr>
        <w:fldChar w:fldCharType="separate"/>
      </w:r>
      <w:r>
        <w:rPr>
          <w:rFonts w:hint="eastAsia" w:hAnsi="黑体"/>
          <w:szCs w:val="21"/>
        </w:rPr>
        <w:t>ISMS审核与认证</w:t>
      </w:r>
      <w:r>
        <w:rPr>
          <w:rFonts w:hint="eastAsia" w:hAnsi="黑体"/>
          <w:szCs w:val="21"/>
          <w:lang w:val="en-US" w:eastAsia="zh-CN"/>
        </w:rPr>
        <w:t>所需</w:t>
      </w:r>
      <w:r>
        <w:rPr>
          <w:rFonts w:hint="eastAsia" w:hAnsi="黑体"/>
          <w:szCs w:val="21"/>
        </w:rPr>
        <w:t>的知识</w:t>
      </w:r>
      <w:r>
        <w:rPr>
          <w:rFonts w:hint="eastAsia" w:hAnsi="黑体"/>
          <w:szCs w:val="21"/>
          <w:lang w:val="en-US" w:eastAsia="zh-CN"/>
        </w:rPr>
        <w:t>和</w:t>
      </w:r>
      <w:r>
        <w:rPr>
          <w:rFonts w:hint="eastAsia" w:hAnsi="黑体"/>
          <w:szCs w:val="21"/>
        </w:rPr>
        <w:t>技能</w:t>
      </w:r>
      <w:r>
        <w:tab/>
      </w:r>
      <w:r>
        <w:fldChar w:fldCharType="begin"/>
      </w:r>
      <w:r>
        <w:instrText xml:space="preserve"> PAGEREF _Toc26268 \h </w:instrText>
      </w:r>
      <w:r>
        <w:fldChar w:fldCharType="separate"/>
      </w:r>
      <w:r>
        <w:t>16</w:t>
      </w:r>
      <w:r>
        <w:fldChar w:fldCharType="end"/>
      </w:r>
      <w:r>
        <w:rPr>
          <w:rFonts w:hAnsi="宋体"/>
        </w:rPr>
        <w:fldChar w:fldCharType="end"/>
      </w:r>
    </w:p>
    <w:p w14:paraId="314815AC">
      <w:pPr>
        <w:pStyle w:val="32"/>
        <w:tabs>
          <w:tab w:val="right" w:leader="dot" w:pos="9071"/>
          <w:tab w:val="clear" w:pos="9241"/>
        </w:tabs>
      </w:pPr>
      <w:r>
        <w:rPr>
          <w:rFonts w:hAnsi="宋体"/>
        </w:rPr>
        <w:fldChar w:fldCharType="begin"/>
      </w:r>
      <w:r>
        <w:rPr>
          <w:rFonts w:hAnsi="宋体"/>
        </w:rPr>
        <w:instrText xml:space="preserve"> HYPERLINK \l _Toc15261 </w:instrText>
      </w:r>
      <w:r>
        <w:rPr>
          <w:rFonts w:hAnsi="宋体"/>
        </w:rPr>
        <w:fldChar w:fldCharType="separate"/>
      </w:r>
      <w:r>
        <w:rPr>
          <w:rFonts w:hint="eastAsia" w:hAnsi="黑体"/>
          <w:szCs w:val="21"/>
        </w:rPr>
        <w:t>附录B</w:t>
      </w:r>
      <w:r>
        <w:rPr>
          <w:rFonts w:hAnsi="宋体"/>
        </w:rPr>
        <w:fldChar w:fldCharType="end"/>
      </w:r>
      <w:r>
        <w:rPr>
          <w:rFonts w:hAnsi="宋体"/>
        </w:rPr>
        <w:fldChar w:fldCharType="begin"/>
      </w:r>
      <w:r>
        <w:rPr>
          <w:rFonts w:hAnsi="宋体"/>
        </w:rPr>
        <w:instrText xml:space="preserve"> HYPERLINK \l _Toc15246 </w:instrText>
      </w:r>
      <w:r>
        <w:rPr>
          <w:rFonts w:hAnsi="宋体"/>
        </w:rPr>
        <w:fldChar w:fldCharType="separate"/>
      </w:r>
      <w:r>
        <w:rPr>
          <w:rFonts w:hint="eastAsia" w:hAnsi="黑体"/>
          <w:szCs w:val="21"/>
        </w:rPr>
        <w:t>（资料性）</w:t>
      </w:r>
      <w:r>
        <w:rPr>
          <w:rFonts w:hAnsi="宋体"/>
        </w:rPr>
        <w:fldChar w:fldCharType="end"/>
      </w:r>
      <w:r>
        <w:rPr>
          <w:rFonts w:hAnsi="宋体"/>
        </w:rPr>
        <w:fldChar w:fldCharType="begin"/>
      </w:r>
      <w:r>
        <w:rPr>
          <w:rFonts w:hAnsi="宋体"/>
        </w:rPr>
        <w:instrText xml:space="preserve"> HYPERLINK \l _Toc29257 </w:instrText>
      </w:r>
      <w:r>
        <w:rPr>
          <w:rFonts w:hAnsi="宋体"/>
        </w:rPr>
        <w:fldChar w:fldCharType="separate"/>
      </w:r>
      <w:r>
        <w:rPr>
          <w:rFonts w:hint="eastAsia" w:hAnsi="黑体"/>
          <w:szCs w:val="21"/>
        </w:rPr>
        <w:t>能力的</w:t>
      </w:r>
      <w:r>
        <w:rPr>
          <w:rFonts w:hint="eastAsia" w:hAnsi="黑体"/>
          <w:szCs w:val="21"/>
          <w:lang w:val="en-US" w:eastAsia="zh-CN"/>
        </w:rPr>
        <w:t>其他</w:t>
      </w:r>
      <w:r>
        <w:rPr>
          <w:rFonts w:hint="eastAsia" w:hAnsi="黑体"/>
          <w:szCs w:val="21"/>
        </w:rPr>
        <w:t>考虑</w:t>
      </w:r>
      <w:r>
        <w:rPr>
          <w:rFonts w:hint="eastAsia" w:hAnsi="黑体"/>
          <w:szCs w:val="21"/>
          <w:lang w:val="en-US" w:eastAsia="zh-CN"/>
        </w:rPr>
        <w:t>因素</w:t>
      </w:r>
      <w:r>
        <w:tab/>
      </w:r>
      <w:r>
        <w:fldChar w:fldCharType="begin"/>
      </w:r>
      <w:r>
        <w:instrText xml:space="preserve"> PAGEREF _Toc29257 \h </w:instrText>
      </w:r>
      <w:r>
        <w:fldChar w:fldCharType="separate"/>
      </w:r>
      <w:r>
        <w:t>17</w:t>
      </w:r>
      <w:r>
        <w:fldChar w:fldCharType="end"/>
      </w:r>
      <w:r>
        <w:rPr>
          <w:rFonts w:hAnsi="宋体"/>
        </w:rPr>
        <w:fldChar w:fldCharType="end"/>
      </w:r>
    </w:p>
    <w:p w14:paraId="22B5EF6C">
      <w:pPr>
        <w:pStyle w:val="32"/>
        <w:tabs>
          <w:tab w:val="right" w:leader="dot" w:pos="9071"/>
          <w:tab w:val="clear" w:pos="9241"/>
        </w:tabs>
      </w:pPr>
      <w:r>
        <w:rPr>
          <w:rFonts w:hAnsi="宋体"/>
        </w:rPr>
        <w:fldChar w:fldCharType="begin"/>
      </w:r>
      <w:r>
        <w:rPr>
          <w:rFonts w:hAnsi="宋体"/>
        </w:rPr>
        <w:instrText xml:space="preserve"> HYPERLINK \l _Toc20512 </w:instrText>
      </w:r>
      <w:r>
        <w:rPr>
          <w:rFonts w:hAnsi="宋体"/>
        </w:rPr>
        <w:fldChar w:fldCharType="separate"/>
      </w:r>
      <w:r>
        <w:rPr>
          <w:rFonts w:hint="eastAsia" w:hAnsi="黑体"/>
          <w:szCs w:val="21"/>
        </w:rPr>
        <w:t>附录C</w:t>
      </w:r>
      <w:r>
        <w:rPr>
          <w:rFonts w:hAnsi="宋体"/>
        </w:rPr>
        <w:fldChar w:fldCharType="end"/>
      </w:r>
      <w:r>
        <w:rPr>
          <w:rFonts w:hAnsi="宋体"/>
        </w:rPr>
        <w:fldChar w:fldCharType="begin"/>
      </w:r>
      <w:r>
        <w:rPr>
          <w:rFonts w:hAnsi="宋体"/>
        </w:rPr>
        <w:instrText xml:space="preserve"> HYPERLINK \l _Toc32629 </w:instrText>
      </w:r>
      <w:r>
        <w:rPr>
          <w:rFonts w:hAnsi="宋体"/>
        </w:rPr>
        <w:fldChar w:fldCharType="separate"/>
      </w:r>
      <w:r>
        <w:rPr>
          <w:rFonts w:hint="eastAsia" w:hAnsi="黑体"/>
          <w:szCs w:val="21"/>
        </w:rPr>
        <w:t>（规范性）</w:t>
      </w:r>
      <w:r>
        <w:rPr>
          <w:rFonts w:hAnsi="宋体"/>
        </w:rPr>
        <w:fldChar w:fldCharType="end"/>
      </w:r>
      <w:r>
        <w:rPr>
          <w:rFonts w:hAnsi="宋体"/>
        </w:rPr>
        <w:fldChar w:fldCharType="begin"/>
      </w:r>
      <w:r>
        <w:rPr>
          <w:rFonts w:hAnsi="宋体"/>
        </w:rPr>
        <w:instrText xml:space="preserve"> HYPERLINK \l _Toc27158 </w:instrText>
      </w:r>
      <w:r>
        <w:rPr>
          <w:rFonts w:hAnsi="宋体"/>
        </w:rPr>
        <w:fldChar w:fldCharType="separate"/>
      </w:r>
      <w:r>
        <w:rPr>
          <w:rFonts w:hint="eastAsia" w:hAnsi="黑体"/>
          <w:szCs w:val="21"/>
        </w:rPr>
        <w:t>审核时间</w:t>
      </w:r>
      <w:r>
        <w:tab/>
      </w:r>
      <w:r>
        <w:fldChar w:fldCharType="begin"/>
      </w:r>
      <w:r>
        <w:instrText xml:space="preserve"> PAGEREF _Toc27158 \h </w:instrText>
      </w:r>
      <w:r>
        <w:fldChar w:fldCharType="separate"/>
      </w:r>
      <w:r>
        <w:t>18</w:t>
      </w:r>
      <w:r>
        <w:fldChar w:fldCharType="end"/>
      </w:r>
      <w:r>
        <w:rPr>
          <w:rFonts w:hAnsi="宋体"/>
        </w:rPr>
        <w:fldChar w:fldCharType="end"/>
      </w:r>
    </w:p>
    <w:p w14:paraId="1E6C35BE">
      <w:pPr>
        <w:pStyle w:val="32"/>
        <w:tabs>
          <w:tab w:val="right" w:leader="dot" w:pos="9071"/>
          <w:tab w:val="clear" w:pos="9241"/>
        </w:tabs>
      </w:pPr>
      <w:r>
        <w:rPr>
          <w:rFonts w:hAnsi="宋体"/>
        </w:rPr>
        <w:fldChar w:fldCharType="begin"/>
      </w:r>
      <w:r>
        <w:rPr>
          <w:rFonts w:hAnsi="宋体"/>
        </w:rPr>
        <w:instrText xml:space="preserve"> HYPERLINK \l _Toc1734 </w:instrText>
      </w:r>
      <w:r>
        <w:rPr>
          <w:rFonts w:hAnsi="宋体"/>
        </w:rPr>
        <w:fldChar w:fldCharType="separate"/>
      </w:r>
      <w:r>
        <w:rPr>
          <w:rFonts w:hAnsi="黑体"/>
          <w:szCs w:val="21"/>
        </w:rPr>
        <w:t>附录</w:t>
      </w:r>
      <w:r>
        <w:rPr>
          <w:rFonts w:hint="eastAsia" w:hAnsi="黑体"/>
          <w:szCs w:val="21"/>
        </w:rPr>
        <w:t>D</w:t>
      </w:r>
      <w:r>
        <w:rPr>
          <w:rFonts w:hAnsi="宋体"/>
        </w:rPr>
        <w:fldChar w:fldCharType="end"/>
      </w:r>
      <w:r>
        <w:rPr>
          <w:rFonts w:hAnsi="宋体"/>
        </w:rPr>
        <w:fldChar w:fldCharType="begin"/>
      </w:r>
      <w:r>
        <w:rPr>
          <w:rFonts w:hAnsi="宋体"/>
        </w:rPr>
        <w:instrText xml:space="preserve"> HYPERLINK \l _Toc1965 </w:instrText>
      </w:r>
      <w:r>
        <w:rPr>
          <w:rFonts w:hAnsi="宋体"/>
        </w:rPr>
        <w:fldChar w:fldCharType="separate"/>
      </w:r>
      <w:r>
        <w:rPr>
          <w:rFonts w:hint="eastAsia" w:hAnsi="黑体"/>
          <w:szCs w:val="21"/>
        </w:rPr>
        <w:t>（资料性）</w:t>
      </w:r>
      <w:r>
        <w:rPr>
          <w:rFonts w:hAnsi="宋体"/>
        </w:rPr>
        <w:fldChar w:fldCharType="end"/>
      </w:r>
      <w:r>
        <w:rPr>
          <w:rFonts w:hAnsi="宋体"/>
        </w:rPr>
        <w:fldChar w:fldCharType="begin"/>
      </w:r>
      <w:r>
        <w:rPr>
          <w:rFonts w:hAnsi="宋体"/>
        </w:rPr>
        <w:instrText xml:space="preserve"> HYPERLINK \l _Toc31237 </w:instrText>
      </w:r>
      <w:r>
        <w:rPr>
          <w:rFonts w:hAnsi="宋体"/>
        </w:rPr>
        <w:fldChar w:fldCharType="separate"/>
      </w:r>
      <w:r>
        <w:rPr>
          <w:rFonts w:hint="eastAsia" w:hAnsi="黑体"/>
          <w:szCs w:val="21"/>
        </w:rPr>
        <w:t>审核时间计算方法</w:t>
      </w:r>
      <w:r>
        <w:tab/>
      </w:r>
      <w:r>
        <w:fldChar w:fldCharType="begin"/>
      </w:r>
      <w:r>
        <w:instrText xml:space="preserve"> PAGEREF _Toc31237 \h </w:instrText>
      </w:r>
      <w:r>
        <w:fldChar w:fldCharType="separate"/>
      </w:r>
      <w:r>
        <w:t>23</w:t>
      </w:r>
      <w:r>
        <w:fldChar w:fldCharType="end"/>
      </w:r>
      <w:r>
        <w:rPr>
          <w:rFonts w:hAnsi="宋体"/>
        </w:rPr>
        <w:fldChar w:fldCharType="end"/>
      </w:r>
    </w:p>
    <w:p w14:paraId="2C9FCA84">
      <w:pPr>
        <w:pStyle w:val="32"/>
        <w:tabs>
          <w:tab w:val="right" w:leader="dot" w:pos="9071"/>
          <w:tab w:val="clear" w:pos="9241"/>
        </w:tabs>
      </w:pPr>
      <w:r>
        <w:rPr>
          <w:rFonts w:hAnsi="宋体"/>
        </w:rPr>
        <w:fldChar w:fldCharType="begin"/>
      </w:r>
      <w:r>
        <w:rPr>
          <w:rFonts w:hAnsi="宋体"/>
        </w:rPr>
        <w:instrText xml:space="preserve"> HYPERLINK \l _Toc5632 </w:instrText>
      </w:r>
      <w:r>
        <w:rPr>
          <w:rFonts w:hAnsi="宋体"/>
        </w:rPr>
        <w:fldChar w:fldCharType="separate"/>
      </w:r>
      <w:r>
        <w:rPr>
          <w:rFonts w:hint="eastAsia" w:hAnsi="黑体"/>
          <w:szCs w:val="21"/>
        </w:rPr>
        <w:t>附录E</w:t>
      </w:r>
      <w:r>
        <w:rPr>
          <w:rFonts w:hAnsi="宋体"/>
        </w:rPr>
        <w:fldChar w:fldCharType="end"/>
      </w:r>
      <w:r>
        <w:rPr>
          <w:rFonts w:hAnsi="宋体"/>
        </w:rPr>
        <w:fldChar w:fldCharType="begin"/>
      </w:r>
      <w:r>
        <w:rPr>
          <w:rFonts w:hAnsi="宋体"/>
        </w:rPr>
        <w:instrText xml:space="preserve"> HYPERLINK \l _Toc12917 </w:instrText>
      </w:r>
      <w:r>
        <w:rPr>
          <w:rFonts w:hAnsi="宋体"/>
        </w:rPr>
        <w:fldChar w:fldCharType="separate"/>
      </w:r>
      <w:r>
        <w:rPr>
          <w:rFonts w:hint="eastAsia" w:hAnsi="黑体"/>
          <w:szCs w:val="21"/>
        </w:rPr>
        <w:t>（资料性）</w:t>
      </w:r>
      <w:r>
        <w:rPr>
          <w:rFonts w:hAnsi="宋体"/>
        </w:rPr>
        <w:fldChar w:fldCharType="end"/>
      </w:r>
      <w:r>
        <w:rPr>
          <w:rFonts w:hAnsi="宋体"/>
        </w:rPr>
        <w:fldChar w:fldCharType="begin"/>
      </w:r>
      <w:r>
        <w:rPr>
          <w:rFonts w:hAnsi="宋体"/>
        </w:rPr>
        <w:instrText xml:space="preserve"> HYPERLINK \l _Toc28566 </w:instrText>
      </w:r>
      <w:r>
        <w:rPr>
          <w:rFonts w:hAnsi="宋体"/>
        </w:rPr>
        <w:fldChar w:fldCharType="separate"/>
      </w:r>
      <w:r>
        <w:rPr>
          <w:rFonts w:hint="eastAsia" w:hAnsi="黑体"/>
          <w:szCs w:val="21"/>
        </w:rPr>
        <w:t>对已实现的</w:t>
      </w:r>
      <w:r>
        <w:rPr>
          <w:rFonts w:hint="eastAsia" w:hAnsi="黑体"/>
          <w:szCs w:val="21"/>
          <w:lang w:val="en-US" w:eastAsia="zh-CN"/>
        </w:rPr>
        <w:t>GB/T 22080—202X</w:t>
      </w:r>
      <w:r>
        <w:rPr>
          <w:rFonts w:hint="eastAsia" w:hAnsi="黑体"/>
          <w:szCs w:val="21"/>
        </w:rPr>
        <w:t>附录A</w:t>
      </w:r>
      <w:r>
        <w:rPr>
          <w:rFonts w:hint="eastAsia" w:hAnsi="黑体"/>
          <w:szCs w:val="21"/>
          <w:lang w:val="en-US" w:eastAsia="zh-CN"/>
        </w:rPr>
        <w:t>中</w:t>
      </w:r>
      <w:r>
        <w:rPr>
          <w:rFonts w:hint="eastAsia" w:hAnsi="黑体"/>
          <w:szCs w:val="21"/>
        </w:rPr>
        <w:t>控制的</w:t>
      </w:r>
      <w:r>
        <w:rPr>
          <w:rFonts w:hint="eastAsia" w:hAnsi="黑体"/>
          <w:szCs w:val="21"/>
          <w:lang w:val="en-US" w:eastAsia="zh-CN"/>
        </w:rPr>
        <w:t>审核</w:t>
      </w:r>
      <w:r>
        <w:rPr>
          <w:rFonts w:hint="eastAsia" w:hAnsi="黑体"/>
          <w:szCs w:val="21"/>
        </w:rPr>
        <w:t>指南</w:t>
      </w:r>
      <w:r>
        <w:tab/>
      </w:r>
      <w:r>
        <w:fldChar w:fldCharType="begin"/>
      </w:r>
      <w:r>
        <w:instrText xml:space="preserve"> PAGEREF _Toc28566 \h </w:instrText>
      </w:r>
      <w:r>
        <w:fldChar w:fldCharType="separate"/>
      </w:r>
      <w:r>
        <w:t>27</w:t>
      </w:r>
      <w:r>
        <w:fldChar w:fldCharType="end"/>
      </w:r>
      <w:r>
        <w:rPr>
          <w:rFonts w:hAnsi="宋体"/>
        </w:rPr>
        <w:fldChar w:fldCharType="end"/>
      </w:r>
    </w:p>
    <w:p w14:paraId="11FD4698">
      <w:pPr>
        <w:pStyle w:val="32"/>
        <w:tabs>
          <w:tab w:val="right" w:leader="dot" w:pos="9071"/>
          <w:tab w:val="clear" w:pos="9241"/>
        </w:tabs>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fldChar w:fldCharType="begin"/>
      </w:r>
      <w:r>
        <w:rPr>
          <w:rFonts w:ascii="宋体" w:hAnsi="宋体" w:eastAsia="宋体" w:cs="Times New Roman"/>
          <w:kern w:val="2"/>
          <w:sz w:val="21"/>
          <w:szCs w:val="21"/>
          <w:lang w:val="en-US" w:eastAsia="zh-CN" w:bidi="ar-SA"/>
        </w:rPr>
        <w:instrText xml:space="preserve"> HYPERLINK \l _Toc5539 </w:instrText>
      </w:r>
      <w:r>
        <w:rPr>
          <w:rFonts w:ascii="宋体" w:hAnsi="宋体" w:eastAsia="宋体" w:cs="Times New Roman"/>
          <w:kern w:val="2"/>
          <w:sz w:val="21"/>
          <w:szCs w:val="21"/>
          <w:lang w:val="en-US" w:eastAsia="zh-CN" w:bidi="ar-SA"/>
        </w:rPr>
        <w:fldChar w:fldCharType="separate"/>
      </w:r>
      <w:r>
        <w:rPr>
          <w:rFonts w:hint="eastAsia" w:ascii="宋体" w:hAnsi="宋体" w:eastAsia="宋体" w:cs="Times New Roman"/>
          <w:kern w:val="2"/>
          <w:sz w:val="21"/>
          <w:szCs w:val="21"/>
          <w:lang w:val="en-US" w:eastAsia="zh-CN" w:bidi="ar-SA"/>
        </w:rPr>
        <w:t>参考文献</w:t>
      </w:r>
      <w:r>
        <w:rPr>
          <w:rFonts w:ascii="宋体" w:hAnsi="宋体" w:eastAsia="宋体" w:cs="Times New Roman"/>
          <w:kern w:val="2"/>
          <w:sz w:val="21"/>
          <w:szCs w:val="21"/>
          <w:lang w:val="en-US" w:eastAsia="zh-CN" w:bidi="ar-SA"/>
        </w:rPr>
        <w:tab/>
      </w:r>
      <w:r>
        <w:rPr>
          <w:rFonts w:ascii="宋体" w:hAnsi="宋体" w:eastAsia="宋体" w:cs="Times New Roman"/>
          <w:kern w:val="2"/>
          <w:sz w:val="21"/>
          <w:szCs w:val="21"/>
          <w:lang w:val="en-US" w:eastAsia="zh-CN" w:bidi="ar-SA"/>
        </w:rPr>
        <w:fldChar w:fldCharType="begin"/>
      </w:r>
      <w:r>
        <w:rPr>
          <w:rFonts w:ascii="宋体" w:hAnsi="宋体" w:eastAsia="宋体" w:cs="Times New Roman"/>
          <w:kern w:val="2"/>
          <w:sz w:val="21"/>
          <w:szCs w:val="21"/>
          <w:lang w:val="en-US" w:eastAsia="zh-CN" w:bidi="ar-SA"/>
        </w:rPr>
        <w:instrText xml:space="preserve"> PAGEREF _Toc5539 \h </w:instrText>
      </w:r>
      <w:r>
        <w:rPr>
          <w:rFonts w:ascii="宋体" w:hAnsi="宋体" w:eastAsia="宋体" w:cs="Times New Roman"/>
          <w:kern w:val="2"/>
          <w:sz w:val="21"/>
          <w:szCs w:val="21"/>
          <w:lang w:val="en-US" w:eastAsia="zh-CN" w:bidi="ar-SA"/>
        </w:rPr>
        <w:fldChar w:fldCharType="separate"/>
      </w:r>
      <w:r>
        <w:rPr>
          <w:rFonts w:ascii="宋体" w:hAnsi="宋体" w:eastAsia="宋体" w:cs="Times New Roman"/>
          <w:kern w:val="2"/>
          <w:sz w:val="21"/>
          <w:szCs w:val="21"/>
          <w:lang w:val="en-US" w:eastAsia="zh-CN" w:bidi="ar-SA"/>
        </w:rPr>
        <w:t>36</w:t>
      </w:r>
      <w:r>
        <w:rPr>
          <w:rFonts w:ascii="宋体" w:hAnsi="宋体" w:eastAsia="宋体" w:cs="Times New Roman"/>
          <w:kern w:val="2"/>
          <w:sz w:val="21"/>
          <w:szCs w:val="21"/>
          <w:lang w:val="en-US" w:eastAsia="zh-CN" w:bidi="ar-SA"/>
        </w:rPr>
        <w:fldChar w:fldCharType="end"/>
      </w:r>
      <w:r>
        <w:rPr>
          <w:rFonts w:ascii="宋体" w:hAnsi="宋体" w:eastAsia="宋体" w:cs="Times New Roman"/>
          <w:kern w:val="2"/>
          <w:sz w:val="21"/>
          <w:szCs w:val="21"/>
          <w:lang w:val="en-US" w:eastAsia="zh-CN" w:bidi="ar-SA"/>
        </w:rPr>
        <w:fldChar w:fldCharType="end"/>
      </w:r>
    </w:p>
    <w:p w14:paraId="4CEB5C60">
      <w:pPr>
        <w:pStyle w:val="32"/>
        <w:tabs>
          <w:tab w:val="right" w:leader="dot" w:pos="9030"/>
          <w:tab w:val="right" w:leader="dot" w:pos="9071"/>
        </w:tabs>
        <w:spacing w:before="78" w:after="78"/>
      </w:pPr>
      <w:r>
        <w:rPr>
          <w:rStyle w:val="58"/>
          <w:rFonts w:hAnsi="宋体"/>
        </w:rPr>
        <w:fldChar w:fldCharType="end"/>
      </w:r>
      <w:bookmarkEnd w:id="16"/>
      <w:bookmarkStart w:id="17" w:name="_Toc432946031"/>
      <w:bookmarkStart w:id="18" w:name="SectionMark4"/>
      <w:bookmarkStart w:id="19" w:name="_Toc434010434"/>
    </w:p>
    <w:p w14:paraId="568771A0">
      <w:pPr>
        <w:pStyle w:val="139"/>
        <w:keepNext w:val="0"/>
        <w:pageBreakBefore w:val="0"/>
        <w:numPr>
          <w:ilvl w:val="0"/>
          <w:numId w:val="19"/>
        </w:numPr>
        <w:spacing w:before="312" w:beforeLines="100" w:after="312" w:afterLines="100" w:line="300" w:lineRule="auto"/>
        <w:outlineLvl w:val="9"/>
        <w:rPr>
          <w:sz w:val="21"/>
          <w:szCs w:val="21"/>
        </w:rPr>
        <w:sectPr>
          <w:headerReference r:id="rId9" w:type="default"/>
          <w:footerReference r:id="rId10" w:type="default"/>
          <w:footerReference r:id="rId11" w:type="even"/>
          <w:pgSz w:w="11907" w:h="16839"/>
          <w:pgMar w:top="1418" w:right="1418" w:bottom="1418" w:left="1418" w:header="851" w:footer="851" w:gutter="0"/>
          <w:pgBorders>
            <w:top w:val="none" w:sz="0" w:space="0"/>
            <w:left w:val="none" w:sz="0" w:space="0"/>
            <w:bottom w:val="none" w:sz="0" w:space="0"/>
            <w:right w:val="none" w:sz="0" w:space="0"/>
          </w:pgBorders>
          <w:pgNumType w:fmt="upperRoman" w:start="1"/>
          <w:cols w:space="425" w:num="1"/>
          <w:docGrid w:type="lines" w:linePitch="312" w:charSpace="0"/>
        </w:sectPr>
      </w:pPr>
    </w:p>
    <w:p w14:paraId="0EA68512">
      <w:pPr>
        <w:pStyle w:val="139"/>
        <w:numPr>
          <w:ilvl w:val="0"/>
          <w:numId w:val="19"/>
        </w:numPr>
        <w:rPr>
          <w:sz w:val="30"/>
          <w:szCs w:val="30"/>
        </w:rPr>
      </w:pPr>
      <w:bookmarkStart w:id="20" w:name="_Toc12004"/>
      <w:bookmarkStart w:id="21" w:name="_Toc30448"/>
      <w:bookmarkStart w:id="22" w:name="_Toc496168551"/>
      <w:r>
        <w:rPr>
          <w:rFonts w:hint="eastAsia"/>
          <w:sz w:val="30"/>
          <w:szCs w:val="30"/>
        </w:rPr>
        <w:t>前</w:t>
      </w:r>
      <w:bookmarkStart w:id="23" w:name="_Toc217308859"/>
      <w:r>
        <w:rPr>
          <w:rFonts w:hint="eastAsia"/>
          <w:sz w:val="30"/>
          <w:szCs w:val="30"/>
        </w:rPr>
        <w:t xml:space="preserve"> </w:t>
      </w:r>
      <w:r>
        <w:rPr>
          <w:sz w:val="30"/>
          <w:szCs w:val="30"/>
        </w:rPr>
        <w:t xml:space="preserve"> </w:t>
      </w:r>
      <w:r>
        <w:rPr>
          <w:rFonts w:hint="eastAsia"/>
          <w:sz w:val="30"/>
          <w:szCs w:val="30"/>
        </w:rPr>
        <w:t>言</w:t>
      </w:r>
      <w:bookmarkEnd w:id="20"/>
      <w:bookmarkEnd w:id="21"/>
      <w:bookmarkEnd w:id="22"/>
      <w:bookmarkEnd w:id="23"/>
    </w:p>
    <w:p w14:paraId="0D9471BF">
      <w:pPr>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本文件按照GB/T</w:t>
      </w:r>
      <w:r>
        <w:rPr>
          <w:rFonts w:hint="eastAsia" w:asciiTheme="minorEastAsia" w:hAnsiTheme="minorEastAsia" w:eastAsiaTheme="minorEastAsia" w:cstheme="minorEastAsia"/>
          <w:kern w:val="0"/>
          <w:szCs w:val="21"/>
          <w:lang w:val="en-US" w:eastAsia="zh-CN"/>
        </w:rPr>
        <w:t xml:space="preserve"> </w:t>
      </w:r>
      <w:r>
        <w:rPr>
          <w:rFonts w:hint="eastAsia" w:asciiTheme="minorEastAsia" w:hAnsiTheme="minorEastAsia" w:eastAsiaTheme="minorEastAsia" w:cstheme="minorEastAsia"/>
        </w:rPr>
        <w:t>1.1—2020《标准化工作导则 第1部分：标准化文件的结构和起草规则》的</w:t>
      </w:r>
      <w:r>
        <w:rPr>
          <w:rFonts w:hint="eastAsia" w:asciiTheme="minorEastAsia" w:hAnsiTheme="minorEastAsia" w:eastAsiaTheme="minorEastAsia" w:cstheme="minorEastAsia"/>
          <w:lang w:val="en-US" w:eastAsia="zh-CN"/>
        </w:rPr>
        <w:t>规定</w:t>
      </w:r>
      <w:r>
        <w:rPr>
          <w:rFonts w:hint="eastAsia" w:asciiTheme="minorEastAsia" w:hAnsiTheme="minorEastAsia" w:eastAsiaTheme="minorEastAsia" w:cstheme="minorEastAsia"/>
          <w:kern w:val="0"/>
          <w:szCs w:val="21"/>
        </w:rPr>
        <w:t>起草。</w:t>
      </w:r>
    </w:p>
    <w:p w14:paraId="3B98FE45">
      <w:pPr>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本文件代替GB/T 25067</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kern w:val="0"/>
          <w:szCs w:val="21"/>
        </w:rPr>
        <w:t>2020《信息技术 安全技术 信息安全管理体系审核和认证机构要求》。</w:t>
      </w:r>
    </w:p>
    <w:p w14:paraId="060DE0E7">
      <w:pPr>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与GB/T 25067</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kern w:val="0"/>
          <w:szCs w:val="21"/>
        </w:rPr>
        <w:t>2020相比，主要技术变化如下：</w:t>
      </w:r>
    </w:p>
    <w:p w14:paraId="6D1E382F">
      <w:pPr>
        <w:pStyle w:val="176"/>
        <w:ind w:left="420" w:firstLine="0"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——规范性引用文件中删除</w:t>
      </w:r>
      <w:r>
        <w:rPr>
          <w:rFonts w:hint="eastAsia" w:asciiTheme="minorEastAsia" w:hAnsiTheme="minorEastAsia" w:eastAsiaTheme="minorEastAsia" w:cstheme="minorEastAsia"/>
          <w:kern w:val="0"/>
          <w:szCs w:val="21"/>
          <w:lang w:eastAsia="zh-CN"/>
        </w:rPr>
        <w:t>了</w:t>
      </w:r>
      <w:r>
        <w:rPr>
          <w:rFonts w:hint="eastAsia" w:asciiTheme="minorEastAsia" w:hAnsiTheme="minorEastAsia" w:eastAsiaTheme="minorEastAsia" w:cstheme="minorEastAsia"/>
          <w:kern w:val="0"/>
          <w:szCs w:val="21"/>
        </w:rPr>
        <w:t xml:space="preserve">ISO/IEC 27000（见第2章）； </w:t>
      </w:r>
    </w:p>
    <w:p w14:paraId="5C940253">
      <w:pPr>
        <w:pStyle w:val="176"/>
        <w:ind w:left="420" w:firstLine="0"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——增加“控制”、“外部环境”、“信息安全”等术语（见第3章）； </w:t>
      </w:r>
    </w:p>
    <w:p w14:paraId="018780FA">
      <w:pPr>
        <w:pStyle w:val="176"/>
        <w:ind w:left="420" w:firstLine="0" w:firstLineChars="0"/>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调整</w:t>
      </w:r>
      <w:r>
        <w:rPr>
          <w:rFonts w:hint="eastAsia" w:asciiTheme="minorEastAsia" w:hAnsiTheme="minorEastAsia" w:eastAsiaTheme="minorEastAsia" w:cstheme="minorEastAsia"/>
          <w:kern w:val="0"/>
          <w:szCs w:val="21"/>
        </w:rPr>
        <w:t>审核员</w:t>
      </w:r>
      <w:r>
        <w:rPr>
          <w:rFonts w:hint="eastAsia" w:asciiTheme="minorEastAsia" w:hAnsiTheme="minorEastAsia" w:eastAsiaTheme="minorEastAsia" w:cstheme="minorEastAsia"/>
          <w:kern w:val="0"/>
          <w:szCs w:val="21"/>
          <w:lang w:eastAsia="zh-CN"/>
        </w:rPr>
        <w:t>的</w:t>
      </w:r>
      <w:r>
        <w:rPr>
          <w:rFonts w:hint="eastAsia" w:asciiTheme="minorEastAsia" w:hAnsiTheme="minorEastAsia" w:eastAsiaTheme="minorEastAsia" w:cstheme="minorEastAsia"/>
          <w:kern w:val="0"/>
          <w:szCs w:val="21"/>
        </w:rPr>
        <w:t>工作经历</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培训经历</w:t>
      </w:r>
      <w:r>
        <w:rPr>
          <w:rFonts w:hint="eastAsia" w:asciiTheme="minorEastAsia" w:hAnsiTheme="minorEastAsia" w:eastAsiaTheme="minorEastAsia" w:cstheme="minorEastAsia"/>
          <w:kern w:val="0"/>
          <w:szCs w:val="21"/>
          <w:lang w:val="en-US" w:eastAsia="zh-CN"/>
        </w:rPr>
        <w:t>和审核经历要求（见7.2.2.2）；</w:t>
      </w:r>
    </w:p>
    <w:p w14:paraId="405E055F">
      <w:pPr>
        <w:pStyle w:val="176"/>
        <w:ind w:left="420" w:firstLine="0" w:firstLineChars="0"/>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——调整技术专家的工作经历要求（见7.2.2.3）；</w:t>
      </w:r>
    </w:p>
    <w:p w14:paraId="53635FD6">
      <w:pPr>
        <w:pStyle w:val="176"/>
        <w:ind w:left="420" w:firstLine="0"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w:t>
      </w:r>
      <w:r>
        <w:rPr>
          <w:rFonts w:hint="eastAsia" w:asciiTheme="minorEastAsia" w:hAnsiTheme="minorEastAsia" w:eastAsiaTheme="minorEastAsia" w:cstheme="minorEastAsia"/>
          <w:kern w:val="0"/>
          <w:szCs w:val="21"/>
        </w:rPr>
        <w:t>修改远程审核的相关要求（见8.2.2、9.1.3.3、9.4.3.2</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C.3.2</w:t>
      </w:r>
      <w:r>
        <w:rPr>
          <w:rFonts w:hint="eastAsia" w:asciiTheme="minorEastAsia" w:hAnsiTheme="minorEastAsia" w:eastAsiaTheme="minorEastAsia" w:cstheme="minorEastAsia"/>
          <w:kern w:val="0"/>
          <w:szCs w:val="21"/>
        </w:rPr>
        <w:t>）；</w:t>
      </w:r>
    </w:p>
    <w:p w14:paraId="29B13128">
      <w:pPr>
        <w:pStyle w:val="176"/>
        <w:ind w:left="840" w:hanging="420" w:firstLineChars="0"/>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新增认证文件中引用其他标准的要求（见8.2.3）；</w:t>
      </w:r>
    </w:p>
    <w:p w14:paraId="4F321B17">
      <w:pPr>
        <w:pStyle w:val="176"/>
        <w:ind w:left="840" w:hanging="420"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修改</w:t>
      </w:r>
      <w:r>
        <w:rPr>
          <w:rFonts w:hint="eastAsia" w:asciiTheme="minorEastAsia" w:hAnsiTheme="minorEastAsia" w:eastAsiaTheme="minorEastAsia" w:cstheme="minorEastAsia"/>
          <w:kern w:val="0"/>
          <w:szCs w:val="21"/>
        </w:rPr>
        <w:t>审核时间计算的相关要求（见C.2.1、C.3.4、C.6、C.7）；</w:t>
      </w:r>
    </w:p>
    <w:p w14:paraId="5D547B88">
      <w:pPr>
        <w:pStyle w:val="176"/>
        <w:ind w:left="840" w:hanging="420" w:firstLineChars="0"/>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新增附录A，描述了认证职能与知识域的对应关系；</w:t>
      </w:r>
    </w:p>
    <w:p w14:paraId="33CC42EF">
      <w:pPr>
        <w:pStyle w:val="176"/>
        <w:ind w:left="840" w:hanging="420"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w:t>
      </w:r>
      <w:r>
        <w:rPr>
          <w:rFonts w:hint="eastAsia" w:asciiTheme="minorEastAsia" w:hAnsiTheme="minorEastAsia" w:eastAsiaTheme="minorEastAsia" w:cstheme="minorEastAsia"/>
          <w:kern w:val="0"/>
          <w:szCs w:val="21"/>
        </w:rPr>
        <w:t>依据GB/T 2208</w:t>
      </w:r>
      <w:r>
        <w:rPr>
          <w:rFonts w:hint="eastAsia" w:asciiTheme="minorEastAsia" w:hAnsiTheme="minorEastAsia" w:eastAsiaTheme="minorEastAsia" w:cstheme="minorEastAsia"/>
          <w:kern w:val="0"/>
          <w:szCs w:val="21"/>
          <w:lang w:val="en-US" w:eastAsia="zh-CN"/>
        </w:rPr>
        <w:t>0</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202X附录A</w:t>
      </w:r>
      <w:r>
        <w:rPr>
          <w:rFonts w:hint="eastAsia" w:asciiTheme="minorEastAsia" w:hAnsiTheme="minorEastAsia" w:eastAsiaTheme="minorEastAsia" w:cstheme="minorEastAsia"/>
          <w:kern w:val="0"/>
          <w:szCs w:val="21"/>
        </w:rPr>
        <w:t>中的信息安全控制，更新附录E（2020版为附录D）；</w:t>
      </w:r>
    </w:p>
    <w:p w14:paraId="557FABAF">
      <w:pPr>
        <w:pStyle w:val="176"/>
        <w:ind w:left="840" w:hanging="420"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——删除与GB/T 27021.1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2017</w:t>
      </w:r>
      <w:r>
        <w:rPr>
          <w:rFonts w:hint="eastAsia" w:asciiTheme="minorEastAsia" w:hAnsiTheme="minorEastAsia" w:eastAsiaTheme="minorEastAsia" w:cstheme="minorEastAsia"/>
          <w:kern w:val="0"/>
          <w:szCs w:val="21"/>
        </w:rPr>
        <w:t>重复的内容（见5.2、7.1.3、9.3.2.2、9.4等）。</w:t>
      </w:r>
    </w:p>
    <w:p w14:paraId="00AEF356">
      <w:pPr>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本文件使用翻译法等同采用ISO/IEC 27006-1:2024《信息安全、网络安全和隐私保护　信息安全管理体系审核和认证机构要求</w:t>
      </w:r>
      <w:r>
        <w:rPr>
          <w:rFonts w:hint="eastAsia" w:asciiTheme="minorEastAsia" w:hAnsiTheme="minorEastAsia" w:eastAsiaTheme="minorEastAsia" w:cstheme="minorEastAsia"/>
          <w:kern w:val="0"/>
          <w:szCs w:val="21"/>
          <w:lang w:val="en-US" w:eastAsia="zh-CN"/>
        </w:rPr>
        <w:t xml:space="preserve"> 第1部分：通用</w:t>
      </w:r>
      <w:r>
        <w:rPr>
          <w:rFonts w:hint="eastAsia" w:asciiTheme="minorEastAsia" w:hAnsiTheme="minorEastAsia" w:eastAsiaTheme="minorEastAsia" w:cstheme="minorEastAsia"/>
          <w:kern w:val="0"/>
          <w:szCs w:val="21"/>
        </w:rPr>
        <w:t>》。</w:t>
      </w:r>
    </w:p>
    <w:p w14:paraId="06950738">
      <w:pPr>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本文件做了最小限度的编辑性改动：</w:t>
      </w:r>
    </w:p>
    <w:p w14:paraId="1B65012D">
      <w:pPr>
        <w:pStyle w:val="176"/>
        <w:ind w:left="840" w:hanging="420"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——为与我国网络安全国家标准协调一致，标准名称改为《网络安全技术　信息安全管理体系审核和认证机构要求》；</w:t>
      </w:r>
    </w:p>
    <w:p w14:paraId="5916926D">
      <w:pPr>
        <w:pStyle w:val="176"/>
        <w:ind w:left="840" w:hanging="420" w:firstLineChars="0"/>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因</w:t>
      </w:r>
      <w:r>
        <w:rPr>
          <w:rFonts w:hint="default" w:asciiTheme="minorEastAsia" w:hAnsiTheme="minorEastAsia" w:eastAsiaTheme="minorEastAsia" w:cstheme="minorEastAsia"/>
          <w:kern w:val="0"/>
          <w:szCs w:val="21"/>
          <w:highlight w:val="none"/>
          <w:lang w:val="en-US" w:eastAsia="zh-CN"/>
        </w:rPr>
        <w:t>ISO Guide 73已废止，术</w:t>
      </w:r>
      <w:r>
        <w:rPr>
          <w:rFonts w:hint="default" w:asciiTheme="minorEastAsia" w:hAnsiTheme="minorEastAsia" w:eastAsiaTheme="minorEastAsia" w:cstheme="minorEastAsia"/>
          <w:kern w:val="0"/>
          <w:szCs w:val="21"/>
          <w:lang w:val="en-US" w:eastAsia="zh-CN"/>
        </w:rPr>
        <w:t>语“3.10 风险”的注3和注4中删除对其的引用；</w:t>
      </w:r>
    </w:p>
    <w:p w14:paraId="1E3BAAE9">
      <w:pPr>
        <w:pStyle w:val="176"/>
        <w:ind w:left="840" w:hanging="420" w:firstLineChars="0"/>
        <w:rPr>
          <w:rFonts w:hint="eastAsia" w:asciiTheme="minorEastAsia" w:hAnsiTheme="minorEastAsia" w:eastAsiaTheme="minorEastAsia" w:cstheme="minorEastAsia"/>
          <w:kern w:val="0"/>
          <w:szCs w:val="21"/>
          <w:highlight w:val="none"/>
          <w:lang w:val="en-US" w:eastAsia="zh-CN"/>
        </w:rPr>
      </w:pPr>
      <w:r>
        <w:rPr>
          <w:rFonts w:hint="default" w:asciiTheme="minorEastAsia" w:hAnsiTheme="minorEastAsia" w:eastAsiaTheme="minorEastAsia" w:cstheme="minorEastAsia"/>
          <w:kern w:val="0"/>
          <w:szCs w:val="21"/>
          <w:lang w:val="en-US" w:eastAsia="zh-CN"/>
        </w:rPr>
        <w:t>——7.1.2中增加了关于ISO/IEC TS 27006-2</w:t>
      </w:r>
      <w:r>
        <w:rPr>
          <w:rFonts w:hint="eastAsia" w:asciiTheme="minorEastAsia" w:hAnsiTheme="minorEastAsia" w:eastAsiaTheme="minorEastAsia" w:cstheme="minorEastAsia"/>
          <w:kern w:val="0"/>
          <w:szCs w:val="21"/>
          <w:lang w:val="en-US" w:eastAsia="zh-CN"/>
        </w:rPr>
        <w:t>状态</w:t>
      </w:r>
      <w:r>
        <w:rPr>
          <w:rFonts w:hint="default" w:asciiTheme="minorEastAsia" w:hAnsiTheme="minorEastAsia" w:eastAsiaTheme="minorEastAsia" w:cstheme="minorEastAsia"/>
          <w:kern w:val="0"/>
          <w:szCs w:val="21"/>
          <w:lang w:val="en-US" w:eastAsia="zh-CN"/>
        </w:rPr>
        <w:t>的脚注</w:t>
      </w:r>
      <w:r>
        <w:rPr>
          <w:rFonts w:hint="default" w:asciiTheme="minorEastAsia" w:hAnsiTheme="minorEastAsia" w:eastAsiaTheme="minorEastAsia" w:cstheme="minorEastAsia"/>
          <w:kern w:val="0"/>
          <w:szCs w:val="21"/>
          <w:highlight w:val="none"/>
          <w:lang w:val="en-US" w:eastAsia="zh-CN"/>
        </w:rPr>
        <w:t>。</w:t>
      </w:r>
    </w:p>
    <w:p w14:paraId="74422106">
      <w:pPr>
        <w:ind w:firstLine="420" w:firstLineChars="200"/>
        <w:rPr>
          <w:rFonts w:ascii="宋体" w:hAnsi="宋体"/>
          <w:kern w:val="0"/>
          <w:szCs w:val="21"/>
        </w:rPr>
      </w:pPr>
      <w:r>
        <w:rPr>
          <w:rFonts w:hint="eastAsia" w:ascii="宋体" w:hAnsi="宋体"/>
          <w:kern w:val="0"/>
          <w:szCs w:val="21"/>
        </w:rPr>
        <w:t>本文件由全国</w:t>
      </w:r>
      <w:r>
        <w:rPr>
          <w:rFonts w:hint="eastAsia" w:ascii="宋体" w:hAnsi="宋体"/>
          <w:kern w:val="0"/>
          <w:szCs w:val="21"/>
          <w:lang w:val="en-US" w:eastAsia="zh-CN"/>
        </w:rPr>
        <w:t>网络</w:t>
      </w:r>
      <w:r>
        <w:rPr>
          <w:rFonts w:hint="eastAsia" w:ascii="宋体" w:hAnsi="宋体"/>
          <w:kern w:val="0"/>
          <w:szCs w:val="21"/>
        </w:rPr>
        <w:t>安全标准化技术委员会（SAC/TC</w:t>
      </w:r>
      <w:r>
        <w:rPr>
          <w:rFonts w:ascii="宋体" w:hAnsi="宋体"/>
          <w:kern w:val="0"/>
          <w:szCs w:val="21"/>
        </w:rPr>
        <w:t xml:space="preserve"> </w:t>
      </w:r>
      <w:r>
        <w:rPr>
          <w:rFonts w:hint="eastAsia" w:ascii="宋体" w:hAnsi="宋体"/>
          <w:kern w:val="0"/>
          <w:szCs w:val="21"/>
        </w:rPr>
        <w:t>260）提出并归口。</w:t>
      </w:r>
    </w:p>
    <w:p w14:paraId="486B4D1D">
      <w:pPr>
        <w:ind w:firstLine="420" w:firstLineChars="200"/>
        <w:rPr>
          <w:rFonts w:ascii="宋体" w:hAnsi="宋体"/>
          <w:kern w:val="0"/>
          <w:szCs w:val="21"/>
        </w:rPr>
      </w:pPr>
      <w:r>
        <w:rPr>
          <w:rFonts w:hint="eastAsia" w:ascii="宋体" w:hAnsi="宋体"/>
          <w:kern w:val="0"/>
          <w:szCs w:val="21"/>
        </w:rPr>
        <w:t>本文件起草单位：中国合格评定国家认可中心、中国电子技术标准化研究院、中国网络安全审查认证和市场监管大数据中心</w:t>
      </w:r>
      <w:bookmarkStart w:id="369" w:name="_GoBack"/>
      <w:bookmarkEnd w:id="369"/>
      <w:r>
        <w:rPr>
          <w:rFonts w:hint="eastAsia" w:ascii="宋体" w:hAnsi="宋体"/>
          <w:kern w:val="0"/>
          <w:szCs w:val="21"/>
        </w:rPr>
        <w:t>等。</w:t>
      </w:r>
    </w:p>
    <w:p w14:paraId="68723EA5">
      <w:pPr>
        <w:ind w:firstLine="420" w:firstLineChars="200"/>
        <w:rPr>
          <w:rFonts w:ascii="宋体" w:hAnsi="宋体"/>
          <w:kern w:val="0"/>
          <w:szCs w:val="21"/>
        </w:rPr>
      </w:pPr>
      <w:r>
        <w:rPr>
          <w:rFonts w:hint="eastAsia" w:ascii="宋体" w:hAnsi="宋体"/>
          <w:kern w:val="0"/>
          <w:szCs w:val="21"/>
        </w:rPr>
        <w:t>本文件主要起草人：付志高、张强、许玉娜、翟亚红、黄俊梅、陈艳、方洁、魏立茹、王秉政等。</w:t>
      </w:r>
    </w:p>
    <w:p w14:paraId="3D66E862">
      <w:pPr>
        <w:ind w:firstLine="420" w:firstLineChars="200"/>
        <w:rPr>
          <w:rFonts w:ascii="宋体" w:hAnsi="宋体"/>
          <w:kern w:val="0"/>
          <w:szCs w:val="21"/>
        </w:rPr>
      </w:pPr>
      <w:r>
        <w:rPr>
          <w:rFonts w:hint="eastAsia" w:ascii="宋体" w:hAnsi="宋体"/>
          <w:kern w:val="0"/>
          <w:szCs w:val="21"/>
        </w:rPr>
        <w:t>本文件所代替标准的历次版本发布情况为:</w:t>
      </w:r>
    </w:p>
    <w:p w14:paraId="4EB854B4">
      <w:pPr>
        <w:pStyle w:val="176"/>
        <w:ind w:left="840" w:hanging="420"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——2010年首次发布为GB/T 25067—2010，2016年第一次修订，2020年第二次</w:t>
      </w:r>
      <w:r>
        <w:rPr>
          <w:rFonts w:hint="eastAsia" w:asciiTheme="minorEastAsia" w:hAnsiTheme="minorEastAsia" w:eastAsiaTheme="minorEastAsia" w:cstheme="minorEastAsia"/>
          <w:kern w:val="0"/>
          <w:szCs w:val="21"/>
          <w:lang w:val="en-US" w:eastAsia="zh-CN"/>
        </w:rPr>
        <w:t>修订</w:t>
      </w:r>
      <w:r>
        <w:rPr>
          <w:rFonts w:hint="eastAsia" w:asciiTheme="minorEastAsia" w:hAnsiTheme="minorEastAsia" w:eastAsiaTheme="minorEastAsia" w:cstheme="minorEastAsia"/>
          <w:kern w:val="0"/>
          <w:szCs w:val="21"/>
          <w:lang w:eastAsia="zh-CN"/>
        </w:rPr>
        <w:t>；</w:t>
      </w:r>
    </w:p>
    <w:p w14:paraId="10CF9D90">
      <w:pPr>
        <w:pStyle w:val="176"/>
        <w:ind w:left="840" w:hanging="420" w:firstLineChars="0"/>
        <w:rPr>
          <w:rFonts w:ascii="宋体" w:hAnsi="宋体"/>
          <w:kern w:val="0"/>
          <w:szCs w:val="21"/>
        </w:rPr>
      </w:pPr>
      <w:r>
        <w:rPr>
          <w:rFonts w:hint="eastAsia" w:asciiTheme="minorEastAsia" w:hAnsiTheme="minorEastAsia" w:eastAsiaTheme="minorEastAsia" w:cstheme="minorEastAsia"/>
          <w:kern w:val="0"/>
          <w:szCs w:val="21"/>
        </w:rPr>
        <w:t>——本次为第三次修订。</w:t>
      </w:r>
    </w:p>
    <w:p w14:paraId="74BAF721">
      <w:pPr>
        <w:pStyle w:val="139"/>
        <w:numPr>
          <w:ilvl w:val="0"/>
          <w:numId w:val="19"/>
        </w:numPr>
        <w:spacing w:before="312" w:beforeLines="100" w:after="312" w:afterLines="100"/>
        <w:rPr>
          <w:sz w:val="21"/>
          <w:szCs w:val="21"/>
        </w:rPr>
      </w:pPr>
      <w:bookmarkStart w:id="24" w:name="_Toc14429"/>
      <w:bookmarkStart w:id="25" w:name="_Toc496168552"/>
      <w:bookmarkStart w:id="26" w:name="_Toc21966"/>
      <w:r>
        <w:rPr>
          <w:rFonts w:hint="eastAsia"/>
        </w:rPr>
        <w:t xml:space="preserve">引 </w:t>
      </w:r>
      <w:r>
        <w:t xml:space="preserve"> </w:t>
      </w:r>
      <w:r>
        <w:rPr>
          <w:rFonts w:hint="eastAsia"/>
        </w:rPr>
        <w:t>言</w:t>
      </w:r>
      <w:bookmarkEnd w:id="24"/>
      <w:bookmarkEnd w:id="25"/>
      <w:bookmarkEnd w:id="26"/>
    </w:p>
    <w:p w14:paraId="21011178">
      <w:pPr>
        <w:pStyle w:val="36"/>
        <w:rPr>
          <w:rFonts w:hAnsi="宋体"/>
          <w:szCs w:val="21"/>
        </w:rPr>
      </w:pPr>
      <w:r>
        <w:rPr>
          <w:rFonts w:hint="eastAsia" w:hAnsi="宋体"/>
          <w:szCs w:val="21"/>
        </w:rPr>
        <w:t>GB/T 27021.1对实施管理体系审核和认证的机构规定了要求</w:t>
      </w:r>
      <w:r>
        <w:rPr>
          <w:rFonts w:hint="eastAsia" w:hAnsi="宋体"/>
          <w:szCs w:val="21"/>
          <w:lang w:val="en-US" w:eastAsia="zh-CN"/>
        </w:rPr>
        <w:t>并提供了</w:t>
      </w:r>
      <w:r>
        <w:rPr>
          <w:rFonts w:hint="eastAsia" w:hAnsi="宋体"/>
          <w:szCs w:val="21"/>
        </w:rPr>
        <w:t>指南。</w:t>
      </w:r>
      <w:r>
        <w:rPr>
          <w:rFonts w:hint="eastAsia" w:hAnsi="宋体"/>
          <w:szCs w:val="21"/>
          <w:lang w:val="en-US" w:eastAsia="zh-CN"/>
        </w:rPr>
        <w:t>满足</w:t>
      </w:r>
      <w:r>
        <w:rPr>
          <w:rFonts w:hint="eastAsia" w:hAnsi="宋体"/>
          <w:szCs w:val="21"/>
        </w:rPr>
        <w:t>GB/T 27021.1</w:t>
      </w:r>
      <w:r>
        <w:rPr>
          <w:rFonts w:hint="eastAsia" w:hAnsi="宋体"/>
          <w:szCs w:val="21"/>
          <w:lang w:eastAsia="zh-CN"/>
        </w:rPr>
        <w:t>的</w:t>
      </w:r>
      <w:r>
        <w:rPr>
          <w:rFonts w:hint="eastAsia" w:hAnsi="宋体"/>
          <w:szCs w:val="21"/>
        </w:rPr>
        <w:t>机构</w:t>
      </w:r>
      <w:r>
        <w:rPr>
          <w:rFonts w:hint="eastAsia" w:hAnsi="宋体"/>
          <w:szCs w:val="21"/>
          <w:lang w:val="en-US" w:eastAsia="zh-CN"/>
        </w:rPr>
        <w:t>在</w:t>
      </w:r>
      <w:r>
        <w:rPr>
          <w:rFonts w:hint="eastAsia" w:hAnsi="宋体"/>
          <w:szCs w:val="21"/>
        </w:rPr>
        <w:t>依据GB/T 22080</w:t>
      </w:r>
      <w:r>
        <w:rPr>
          <w:rFonts w:hint="eastAsia" w:hAnsi="宋体"/>
          <w:szCs w:val="21"/>
          <w:lang w:val="en-US" w:eastAsia="zh-CN"/>
        </w:rPr>
        <w:t>对组织的</w:t>
      </w:r>
      <w:r>
        <w:rPr>
          <w:rFonts w:hint="eastAsia" w:hAnsi="宋体"/>
          <w:szCs w:val="21"/>
        </w:rPr>
        <w:t>信息安全管理体系（</w:t>
      </w:r>
      <w:r>
        <w:rPr>
          <w:rFonts w:hint="eastAsia" w:hAnsi="宋体"/>
          <w:szCs w:val="21"/>
          <w:lang w:val="en-US" w:eastAsia="zh-CN"/>
        </w:rPr>
        <w:t>英文缩写</w:t>
      </w:r>
      <w:r>
        <w:rPr>
          <w:rFonts w:hint="eastAsia" w:hAnsi="宋体"/>
          <w:szCs w:val="21"/>
        </w:rPr>
        <w:t>为“ISMS”）</w:t>
      </w:r>
      <w:r>
        <w:rPr>
          <w:rFonts w:hint="eastAsia" w:hAnsi="宋体"/>
          <w:szCs w:val="21"/>
          <w:lang w:val="en-US" w:eastAsia="zh-CN"/>
        </w:rPr>
        <w:t>实施</w:t>
      </w:r>
      <w:r>
        <w:rPr>
          <w:rFonts w:hint="eastAsia" w:hAnsi="宋体"/>
          <w:szCs w:val="21"/>
        </w:rPr>
        <w:t>审核和认证活动</w:t>
      </w:r>
      <w:r>
        <w:rPr>
          <w:rFonts w:hint="eastAsia" w:hAnsi="宋体"/>
          <w:szCs w:val="21"/>
          <w:lang w:val="en-US" w:eastAsia="zh-CN"/>
        </w:rPr>
        <w:t>时</w:t>
      </w:r>
      <w:r>
        <w:rPr>
          <w:rFonts w:hint="eastAsia" w:hAnsi="宋体"/>
          <w:szCs w:val="21"/>
        </w:rPr>
        <w:t>，</w:t>
      </w:r>
      <w:r>
        <w:rPr>
          <w:rFonts w:hint="eastAsia" w:hAnsi="宋体"/>
          <w:szCs w:val="21"/>
          <w:lang w:val="en-US" w:eastAsia="zh-CN"/>
        </w:rPr>
        <w:t>有必要对</w:t>
      </w:r>
      <w:r>
        <w:rPr>
          <w:rFonts w:hint="eastAsia" w:hAnsi="宋体"/>
          <w:szCs w:val="21"/>
        </w:rPr>
        <w:t>GB/T 27021.1补充一些要求和指南。本文件提供了这些要求和指南。</w:t>
      </w:r>
    </w:p>
    <w:p w14:paraId="433804DB">
      <w:pPr>
        <w:pStyle w:val="36"/>
        <w:rPr>
          <w:rFonts w:hAnsi="宋体"/>
          <w:szCs w:val="21"/>
        </w:rPr>
      </w:pPr>
      <w:r>
        <w:rPr>
          <w:rFonts w:hint="eastAsia" w:hAnsi="宋体"/>
          <w:szCs w:val="21"/>
        </w:rPr>
        <w:t>本文件</w:t>
      </w:r>
      <w:r>
        <w:rPr>
          <w:rFonts w:hint="eastAsia" w:hAnsi="宋体"/>
          <w:szCs w:val="21"/>
          <w:lang w:val="en-US" w:eastAsia="zh-CN"/>
        </w:rPr>
        <w:t>对提供</w:t>
      </w:r>
      <w:r>
        <w:rPr>
          <w:rFonts w:hint="eastAsia" w:hAnsi="宋体"/>
          <w:szCs w:val="21"/>
        </w:rPr>
        <w:t>ISMS审核和认证</w:t>
      </w:r>
      <w:r>
        <w:rPr>
          <w:rFonts w:hint="eastAsia" w:hAnsi="宋体"/>
          <w:szCs w:val="21"/>
          <w:lang w:eastAsia="zh-CN"/>
        </w:rPr>
        <w:t>的</w:t>
      </w:r>
      <w:r>
        <w:rPr>
          <w:rFonts w:hint="eastAsia" w:hAnsi="宋体"/>
          <w:szCs w:val="21"/>
        </w:rPr>
        <w:t>机构</w:t>
      </w:r>
      <w:r>
        <w:rPr>
          <w:rFonts w:hint="eastAsia" w:hAnsi="宋体"/>
          <w:szCs w:val="21"/>
          <w:lang w:val="en-US" w:eastAsia="zh-CN"/>
        </w:rPr>
        <w:t>规定了</w:t>
      </w:r>
      <w:r>
        <w:rPr>
          <w:rFonts w:hint="eastAsia" w:hAnsi="宋体"/>
          <w:szCs w:val="21"/>
        </w:rPr>
        <w:t>要求</w:t>
      </w:r>
      <w:r>
        <w:rPr>
          <w:rFonts w:hint="eastAsia" w:hAnsi="宋体"/>
          <w:szCs w:val="21"/>
          <w:lang w:eastAsia="zh-CN"/>
        </w:rPr>
        <w:t>，</w:t>
      </w:r>
      <w:r>
        <w:rPr>
          <w:rFonts w:hint="eastAsia" w:hAnsi="宋体"/>
          <w:szCs w:val="21"/>
        </w:rPr>
        <w:t>这类机构被称为认证机构</w:t>
      </w:r>
      <w:r>
        <w:rPr>
          <w:rFonts w:hint="eastAsia" w:hAnsi="宋体"/>
          <w:szCs w:val="21"/>
          <w:lang w:eastAsia="zh-CN"/>
        </w:rPr>
        <w:t>。</w:t>
      </w:r>
      <w:r>
        <w:rPr>
          <w:rFonts w:hint="eastAsia" w:hAnsi="宋体"/>
          <w:szCs w:val="21"/>
        </w:rPr>
        <w:t>本文件规定了</w:t>
      </w:r>
      <w:r>
        <w:rPr>
          <w:rFonts w:hint="eastAsia" w:hAnsi="宋体"/>
          <w:szCs w:val="21"/>
          <w:lang w:val="en-US" w:eastAsia="zh-CN"/>
        </w:rPr>
        <w:t>ISMS</w:t>
      </w:r>
      <w:r>
        <w:rPr>
          <w:rFonts w:hint="eastAsia" w:hAnsi="宋体"/>
          <w:szCs w:val="21"/>
        </w:rPr>
        <w:t>认证机构的通用要求。</w:t>
      </w:r>
      <w:r>
        <w:rPr>
          <w:rFonts w:hint="eastAsia" w:hAnsi="宋体"/>
          <w:szCs w:val="21"/>
          <w:lang w:val="en-US" w:eastAsia="zh-CN"/>
        </w:rPr>
        <w:t>认证机构</w:t>
      </w:r>
      <w:r>
        <w:rPr>
          <w:rFonts w:hint="eastAsia" w:hAnsi="宋体"/>
          <w:szCs w:val="21"/>
        </w:rPr>
        <w:t>遵守这些要求，确保</w:t>
      </w:r>
      <w:r>
        <w:rPr>
          <w:rFonts w:hint="eastAsia" w:hAnsi="宋体"/>
          <w:szCs w:val="21"/>
          <w:lang w:val="en-US" w:eastAsia="zh-CN"/>
        </w:rPr>
        <w:t>其</w:t>
      </w:r>
      <w:r>
        <w:rPr>
          <w:rFonts w:hint="eastAsia" w:hAnsi="宋体"/>
          <w:szCs w:val="21"/>
        </w:rPr>
        <w:t>以有能力、一致和公正的方式</w:t>
      </w:r>
      <w:r>
        <w:rPr>
          <w:rFonts w:hint="eastAsia" w:hAnsi="宋体"/>
          <w:szCs w:val="21"/>
          <w:lang w:val="en-US" w:eastAsia="zh-CN"/>
        </w:rPr>
        <w:t>实施</w:t>
      </w:r>
      <w:r>
        <w:rPr>
          <w:rFonts w:hint="eastAsia" w:hAnsi="宋体"/>
          <w:szCs w:val="21"/>
        </w:rPr>
        <w:t>ISMS认证，</w:t>
      </w:r>
      <w:r>
        <w:rPr>
          <w:rFonts w:hint="eastAsia" w:hAnsi="宋体"/>
          <w:szCs w:val="21"/>
          <w:lang w:val="en-US" w:eastAsia="zh-CN"/>
        </w:rPr>
        <w:t>这将促进国内外对这些机构及其认证结果的承认与接受。</w:t>
      </w:r>
    </w:p>
    <w:p w14:paraId="575D3992">
      <w:pPr>
        <w:pStyle w:val="36"/>
        <w:rPr>
          <w:rFonts w:hAnsi="宋体"/>
          <w:szCs w:val="21"/>
        </w:rPr>
      </w:pPr>
      <w:r>
        <w:rPr>
          <w:rFonts w:hint="eastAsia" w:hAnsi="宋体"/>
          <w:szCs w:val="21"/>
        </w:rPr>
        <w:t>本文件正文</w:t>
      </w:r>
      <w:r>
        <w:rPr>
          <w:rFonts w:hint="eastAsia" w:hAnsi="宋体"/>
          <w:szCs w:val="21"/>
          <w:lang w:val="en-US" w:eastAsia="zh-CN"/>
        </w:rPr>
        <w:t>与</w:t>
      </w:r>
      <w:r>
        <w:rPr>
          <w:rFonts w:hint="eastAsia" w:hAnsi="宋体"/>
          <w:szCs w:val="21"/>
        </w:rPr>
        <w:t>GB/T 27021.1</w:t>
      </w:r>
      <w:r>
        <w:rPr>
          <w:rFonts w:hint="eastAsia"/>
        </w:rPr>
        <w:t>—</w:t>
      </w:r>
      <w:r>
        <w:rPr>
          <w:rFonts w:hint="eastAsia" w:hAnsi="宋体"/>
          <w:szCs w:val="21"/>
        </w:rPr>
        <w:t>201</w:t>
      </w:r>
      <w:r>
        <w:rPr>
          <w:rFonts w:hAnsi="宋体"/>
          <w:szCs w:val="21"/>
        </w:rPr>
        <w:t>7</w:t>
      </w:r>
      <w:r>
        <w:rPr>
          <w:rFonts w:hint="eastAsia" w:hAnsi="宋体"/>
          <w:szCs w:val="21"/>
        </w:rPr>
        <w:t>的结构</w:t>
      </w:r>
      <w:r>
        <w:rPr>
          <w:rFonts w:hint="eastAsia" w:hAnsi="宋体"/>
          <w:szCs w:val="21"/>
          <w:lang w:val="en-US" w:eastAsia="zh-CN"/>
        </w:rPr>
        <w:t>保持一致</w:t>
      </w:r>
      <w:r>
        <w:rPr>
          <w:rFonts w:hint="eastAsia" w:hAnsi="宋体"/>
          <w:szCs w:val="21"/>
        </w:rPr>
        <w:t>。</w:t>
      </w:r>
    </w:p>
    <w:p w14:paraId="4AC031FE">
      <w:pPr>
        <w:pStyle w:val="36"/>
        <w:rPr>
          <w:rFonts w:hAnsi="宋体"/>
          <w:szCs w:val="21"/>
        </w:rPr>
      </w:pPr>
      <w:r>
        <w:rPr>
          <w:rFonts w:hint="eastAsia" w:hAnsi="宋体"/>
          <w:szCs w:val="21"/>
        </w:rPr>
        <w:t>在本文件中，使用了下列助动词：</w:t>
      </w:r>
    </w:p>
    <w:p w14:paraId="5C14E6E3">
      <w:pPr>
        <w:pStyle w:val="36"/>
        <w:rPr>
          <w:rFonts w:hAnsi="宋体"/>
          <w:szCs w:val="21"/>
        </w:rPr>
      </w:pPr>
      <w:r>
        <w:rPr>
          <w:rFonts w:hint="eastAsia" w:hAnsi="宋体"/>
          <w:szCs w:val="21"/>
        </w:rPr>
        <w:t>—— “应”表示要求；</w:t>
      </w:r>
    </w:p>
    <w:p w14:paraId="58995331">
      <w:pPr>
        <w:pStyle w:val="36"/>
        <w:rPr>
          <w:rFonts w:hAnsi="宋体"/>
          <w:szCs w:val="21"/>
        </w:rPr>
      </w:pPr>
      <w:r>
        <w:rPr>
          <w:rFonts w:hint="eastAsia" w:hAnsi="宋体"/>
          <w:szCs w:val="21"/>
        </w:rPr>
        <w:t>—— “宜”表示</w:t>
      </w:r>
      <w:r>
        <w:rPr>
          <w:rFonts w:hint="eastAsia" w:hAnsi="宋体"/>
          <w:szCs w:val="21"/>
          <w:lang w:val="en-US" w:eastAsia="zh-CN"/>
        </w:rPr>
        <w:t>推荐</w:t>
      </w:r>
      <w:r>
        <w:rPr>
          <w:rFonts w:hint="eastAsia" w:hAnsi="宋体"/>
          <w:szCs w:val="21"/>
        </w:rPr>
        <w:t>；</w:t>
      </w:r>
    </w:p>
    <w:p w14:paraId="7769E4DA">
      <w:pPr>
        <w:pStyle w:val="36"/>
        <w:rPr>
          <w:rFonts w:hAnsi="宋体"/>
          <w:szCs w:val="21"/>
        </w:rPr>
      </w:pPr>
      <w:r>
        <w:rPr>
          <w:rFonts w:hint="eastAsia" w:hAnsi="宋体"/>
          <w:szCs w:val="21"/>
        </w:rPr>
        <w:t>—— “可”表示允许；</w:t>
      </w:r>
    </w:p>
    <w:p w14:paraId="29318DCB">
      <w:pPr>
        <w:pStyle w:val="36"/>
        <w:rPr>
          <w:rFonts w:hAnsi="宋体"/>
          <w:szCs w:val="21"/>
        </w:rPr>
      </w:pPr>
      <w:r>
        <w:rPr>
          <w:rFonts w:hint="eastAsia" w:hAnsi="宋体"/>
          <w:szCs w:val="21"/>
        </w:rPr>
        <w:t>—— “能”表示</w:t>
      </w:r>
      <w:r>
        <w:rPr>
          <w:rFonts w:hint="eastAsia" w:hAnsi="宋体"/>
          <w:szCs w:val="21"/>
          <w:lang w:val="en-US" w:eastAsia="zh-CN"/>
        </w:rPr>
        <w:t>能力，“可能”表示</w:t>
      </w:r>
      <w:r>
        <w:rPr>
          <w:rFonts w:hint="eastAsia" w:hAnsi="宋体"/>
          <w:szCs w:val="21"/>
        </w:rPr>
        <w:t>可能性。</w:t>
      </w:r>
    </w:p>
    <w:p w14:paraId="21AEC672">
      <w:pPr>
        <w:pStyle w:val="36"/>
        <w:spacing w:line="300" w:lineRule="auto"/>
        <w:rPr>
          <w:rFonts w:ascii="仿宋" w:hAnsi="仿宋" w:eastAsia="仿宋"/>
          <w:szCs w:val="21"/>
        </w:rPr>
      </w:pPr>
    </w:p>
    <w:p w14:paraId="1993315A">
      <w:pPr>
        <w:pStyle w:val="36"/>
        <w:spacing w:line="300" w:lineRule="auto"/>
        <w:rPr>
          <w:szCs w:val="21"/>
        </w:rPr>
        <w:sectPr>
          <w:footerReference r:id="rId13" w:type="default"/>
          <w:headerReference r:id="rId12" w:type="even"/>
          <w:footerReference r:id="rId14" w:type="even"/>
          <w:pgSz w:w="11907" w:h="16839"/>
          <w:pgMar w:top="1418" w:right="1418" w:bottom="1418" w:left="1418" w:header="851" w:footer="851" w:gutter="0"/>
          <w:pgBorders>
            <w:top w:val="none" w:sz="0" w:space="0"/>
            <w:left w:val="none" w:sz="0" w:space="0"/>
            <w:bottom w:val="none" w:sz="0" w:space="0"/>
            <w:right w:val="none" w:sz="0" w:space="0"/>
          </w:pgBorders>
          <w:pgNumType w:fmt="upperRoman" w:start="1"/>
          <w:cols w:space="425" w:num="1"/>
          <w:docGrid w:type="lines" w:linePitch="312" w:charSpace="0"/>
        </w:sectPr>
      </w:pPr>
    </w:p>
    <w:p w14:paraId="6AB74C64">
      <w:pPr>
        <w:pStyle w:val="139"/>
        <w:keepNext w:val="0"/>
        <w:pageBreakBefore w:val="0"/>
        <w:numPr>
          <w:ilvl w:val="0"/>
          <w:numId w:val="19"/>
        </w:numPr>
        <w:spacing w:before="312" w:beforeLines="100" w:after="312" w:afterLines="100" w:line="300" w:lineRule="auto"/>
        <w:outlineLvl w:val="9"/>
        <w:rPr>
          <w:rFonts w:hAnsi="黑体"/>
          <w:sz w:val="24"/>
          <w:szCs w:val="24"/>
        </w:rPr>
      </w:pPr>
      <w:bookmarkStart w:id="27" w:name="_Toc5878"/>
      <w:bookmarkStart w:id="28" w:name="_Toc32101"/>
      <w:r>
        <w:rPr>
          <w:rFonts w:hint="eastAsia" w:hAnsi="黑体"/>
          <w:szCs w:val="32"/>
          <w:lang w:val="en-US" w:eastAsia="zh-CN"/>
        </w:rPr>
        <w:t>网络</w:t>
      </w:r>
      <w:r>
        <w:rPr>
          <w:rFonts w:hint="eastAsia" w:hAnsi="黑体"/>
          <w:szCs w:val="32"/>
        </w:rPr>
        <w:t>安全技术　信息安全管理体系审核和认证机构要求</w:t>
      </w:r>
      <w:bookmarkEnd w:id="27"/>
      <w:bookmarkEnd w:id="28"/>
    </w:p>
    <w:p w14:paraId="5EECC542">
      <w:pPr>
        <w:pStyle w:val="69"/>
        <w:numPr>
          <w:ilvl w:val="1"/>
          <w:numId w:val="19"/>
        </w:numPr>
        <w:spacing w:before="312" w:after="312"/>
        <w:ind w:hanging="315" w:hangingChars="150"/>
      </w:pPr>
      <w:bookmarkStart w:id="29" w:name="_Toc434010435"/>
      <w:bookmarkStart w:id="30" w:name="_Toc23010"/>
      <w:bookmarkStart w:id="31" w:name="_Toc16293"/>
      <w:bookmarkStart w:id="32" w:name="_Toc496168553"/>
      <w:r>
        <w:t>范围</w:t>
      </w:r>
      <w:bookmarkEnd w:id="29"/>
      <w:bookmarkEnd w:id="30"/>
      <w:bookmarkEnd w:id="31"/>
      <w:bookmarkEnd w:id="32"/>
    </w:p>
    <w:p w14:paraId="66417501">
      <w:pPr>
        <w:pStyle w:val="36"/>
        <w:rPr>
          <w:rFonts w:hAnsi="宋体"/>
          <w:szCs w:val="21"/>
          <w:lang w:val="de-DE"/>
        </w:rPr>
      </w:pPr>
      <w:r>
        <w:rPr>
          <w:rFonts w:hint="eastAsia" w:hAnsi="宋体"/>
          <w:szCs w:val="21"/>
          <w:lang w:val="de-DE"/>
        </w:rPr>
        <w:t>本文件在GB/T 27021.1</w:t>
      </w:r>
      <w:r>
        <w:rPr>
          <w:rFonts w:hint="eastAsia"/>
        </w:rPr>
        <w:t>—</w:t>
      </w:r>
      <w:r>
        <w:rPr>
          <w:rFonts w:hint="eastAsia" w:hAnsi="宋体"/>
          <w:szCs w:val="21"/>
        </w:rPr>
        <w:t>201</w:t>
      </w:r>
      <w:r>
        <w:rPr>
          <w:rFonts w:hAnsi="宋体"/>
          <w:szCs w:val="21"/>
        </w:rPr>
        <w:t>7</w:t>
      </w:r>
      <w:r>
        <w:rPr>
          <w:rFonts w:hint="eastAsia" w:hAnsi="宋体"/>
          <w:szCs w:val="21"/>
          <w:lang w:val="de-DE"/>
        </w:rPr>
        <w:t>的基础上，对ISMS审核和认证机构规定了要求并提供了指南。</w:t>
      </w:r>
    </w:p>
    <w:p w14:paraId="66B1781B">
      <w:pPr>
        <w:ind w:right="25" w:rightChars="12" w:firstLine="420" w:firstLineChars="200"/>
        <w:rPr>
          <w:rFonts w:ascii="宋体" w:hAnsi="宋体"/>
          <w:kern w:val="0"/>
          <w:szCs w:val="21"/>
          <w:lang w:val="de-DE"/>
        </w:rPr>
      </w:pPr>
      <w:r>
        <w:rPr>
          <w:rFonts w:hint="eastAsia" w:ascii="宋体" w:hAnsi="宋体"/>
          <w:kern w:val="0"/>
          <w:szCs w:val="21"/>
          <w:lang w:val="de-DE"/>
        </w:rPr>
        <w:t>提供ISMS认证的机构</w:t>
      </w:r>
      <w:r>
        <w:rPr>
          <w:rFonts w:hint="eastAsia" w:ascii="宋体" w:hAnsi="宋体"/>
          <w:kern w:val="0"/>
          <w:szCs w:val="21"/>
          <w:lang w:val="en-US" w:eastAsia="zh-CN"/>
        </w:rPr>
        <w:t>从</w:t>
      </w:r>
      <w:r>
        <w:rPr>
          <w:rFonts w:hint="eastAsia" w:ascii="宋体" w:hAnsi="宋体"/>
          <w:kern w:val="0"/>
          <w:szCs w:val="21"/>
          <w:lang w:val="de-DE"/>
        </w:rPr>
        <w:t>能力和可靠性方面证实其满足本文件中的要求。本文件中的指南提供了对这些要求的进一步解释。</w:t>
      </w:r>
    </w:p>
    <w:p w14:paraId="34B52A0C">
      <w:pPr>
        <w:pStyle w:val="36"/>
        <w:ind w:firstLine="360"/>
        <w:rPr>
          <w:rFonts w:hAnsi="宋体"/>
          <w:sz w:val="18"/>
          <w:szCs w:val="18"/>
          <w:lang w:val="de-DE"/>
        </w:rPr>
      </w:pPr>
      <w:r>
        <w:rPr>
          <w:rFonts w:hint="eastAsia" w:ascii="黑体" w:hAnsi="黑体" w:eastAsia="黑体"/>
          <w:sz w:val="18"/>
          <w:szCs w:val="18"/>
          <w:lang w:val="de-DE"/>
        </w:rPr>
        <w:t>注：</w:t>
      </w:r>
      <w:r>
        <w:rPr>
          <w:rFonts w:hint="eastAsia" w:hAnsi="宋体"/>
          <w:sz w:val="18"/>
          <w:szCs w:val="18"/>
          <w:lang w:val="de-DE"/>
        </w:rPr>
        <w:t>本文件</w:t>
      </w:r>
      <w:r>
        <w:rPr>
          <w:rFonts w:hint="eastAsia" w:hAnsi="宋体"/>
          <w:sz w:val="18"/>
          <w:szCs w:val="18"/>
          <w:lang w:val="en-US" w:eastAsia="zh-CN"/>
        </w:rPr>
        <w:t>能</w:t>
      </w:r>
      <w:r>
        <w:rPr>
          <w:rFonts w:hint="eastAsia" w:hAnsi="宋体"/>
          <w:sz w:val="18"/>
          <w:szCs w:val="18"/>
          <w:lang w:val="de-DE"/>
        </w:rPr>
        <w:t>作为认可、同行评审或其他审核过程的准则。</w:t>
      </w:r>
    </w:p>
    <w:p w14:paraId="2CAD42AB">
      <w:pPr>
        <w:pStyle w:val="69"/>
        <w:numPr>
          <w:ilvl w:val="1"/>
          <w:numId w:val="19"/>
        </w:numPr>
        <w:spacing w:before="312" w:after="312"/>
        <w:ind w:hanging="315" w:hangingChars="150"/>
      </w:pPr>
      <w:bookmarkStart w:id="33" w:name="_Toc496168554"/>
      <w:bookmarkStart w:id="34" w:name="_Toc4569"/>
      <w:bookmarkStart w:id="35" w:name="_Toc12498"/>
      <w:bookmarkStart w:id="36" w:name="_Toc434010436"/>
      <w:r>
        <w:t>规范性引用文件</w:t>
      </w:r>
      <w:bookmarkEnd w:id="33"/>
      <w:bookmarkEnd w:id="34"/>
      <w:bookmarkEnd w:id="35"/>
      <w:bookmarkEnd w:id="36"/>
    </w:p>
    <w:p w14:paraId="74F21E25">
      <w:pPr>
        <w:pStyle w:val="36"/>
        <w:rPr>
          <w:rFonts w:hint="eastAsia" w:hAnsi="宋体"/>
          <w:szCs w:val="21"/>
        </w:rPr>
      </w:pPr>
      <w:r>
        <w:rPr>
          <w:rFonts w:hint="eastAsia" w:hAnsi="宋体"/>
          <w:szCs w:val="21"/>
        </w:rPr>
        <w:t>下列文件中的内容通过文中的规范性引用而构成本文件必不可少的条款。其中</w:t>
      </w:r>
      <w:r>
        <w:rPr>
          <w:rFonts w:hint="eastAsia" w:hAnsi="宋体"/>
          <w:szCs w:val="21"/>
          <w:lang w:eastAsia="zh-CN"/>
        </w:rPr>
        <w:t>，</w:t>
      </w:r>
      <w:r>
        <w:rPr>
          <w:rFonts w:hint="eastAsia" w:hAnsi="宋体"/>
          <w:szCs w:val="21"/>
        </w:rPr>
        <w:t>注日期的引用文件</w:t>
      </w:r>
      <w:r>
        <w:rPr>
          <w:rFonts w:hint="eastAsia" w:hAnsi="宋体"/>
          <w:szCs w:val="21"/>
          <w:lang w:eastAsia="zh-CN"/>
        </w:rPr>
        <w:t>，</w:t>
      </w:r>
      <w:r>
        <w:rPr>
          <w:rFonts w:hint="eastAsia" w:hAnsi="宋体"/>
          <w:szCs w:val="21"/>
        </w:rPr>
        <w:t>仅该日期对应的版本适用于本文件</w:t>
      </w:r>
      <w:r>
        <w:rPr>
          <w:rFonts w:hint="eastAsia" w:hAnsi="宋体"/>
          <w:szCs w:val="21"/>
          <w:lang w:eastAsia="zh-CN"/>
        </w:rPr>
        <w:t>；</w:t>
      </w:r>
      <w:r>
        <w:rPr>
          <w:rFonts w:hint="eastAsia" w:hAnsi="宋体"/>
          <w:szCs w:val="21"/>
        </w:rPr>
        <w:t>不注日期的引用文件</w:t>
      </w:r>
      <w:r>
        <w:rPr>
          <w:rFonts w:hint="eastAsia" w:hAnsi="宋体"/>
          <w:szCs w:val="21"/>
          <w:lang w:eastAsia="zh-CN"/>
        </w:rPr>
        <w:t>，</w:t>
      </w:r>
      <w:r>
        <w:rPr>
          <w:rFonts w:hint="eastAsia" w:hAnsi="宋体"/>
          <w:szCs w:val="21"/>
        </w:rPr>
        <w:t>其最新版本(包括所有的修改单)适用于本文件。</w:t>
      </w:r>
    </w:p>
    <w:p w14:paraId="16759C21">
      <w:pPr>
        <w:pStyle w:val="36"/>
        <w:rPr>
          <w:rFonts w:hAnsi="宋体"/>
          <w:szCs w:val="21"/>
          <w:lang w:val="de-DE"/>
        </w:rPr>
      </w:pPr>
      <w:r>
        <w:rPr>
          <w:rFonts w:hAnsi="宋体"/>
          <w:szCs w:val="21"/>
          <w:lang w:val="de-DE"/>
        </w:rPr>
        <w:t>GB/T 22080</w:t>
      </w:r>
      <w:r>
        <w:rPr>
          <w:rFonts w:hint="eastAsia"/>
        </w:rPr>
        <w:t>—</w:t>
      </w:r>
      <w:r>
        <w:rPr>
          <w:rFonts w:hAnsi="宋体"/>
          <w:szCs w:val="21"/>
          <w:lang w:val="de-DE"/>
        </w:rPr>
        <w:t>20</w:t>
      </w:r>
      <w:r>
        <w:rPr>
          <w:rFonts w:hint="eastAsia" w:hAnsi="宋体"/>
          <w:szCs w:val="21"/>
        </w:rPr>
        <w:t>2X</w:t>
      </w:r>
      <w:r>
        <w:rPr>
          <w:rFonts w:hint="eastAsia" w:asciiTheme="minorEastAsia" w:hAnsiTheme="minorEastAsia" w:eastAsiaTheme="minorEastAsia"/>
          <w:szCs w:val="21"/>
          <w:lang w:val="de-DE"/>
        </w:rPr>
        <w:t>　</w:t>
      </w:r>
      <w:r>
        <w:rPr>
          <w:rFonts w:hint="eastAsia" w:asciiTheme="minorEastAsia" w:hAnsiTheme="minorEastAsia" w:eastAsiaTheme="minorEastAsia"/>
          <w:szCs w:val="21"/>
          <w:lang w:val="en-US" w:eastAsia="zh-CN"/>
        </w:rPr>
        <w:t>网络</w:t>
      </w:r>
      <w:r>
        <w:rPr>
          <w:rFonts w:hint="eastAsia" w:hAnsi="宋体"/>
          <w:szCs w:val="21"/>
          <w:lang w:val="de-DE"/>
        </w:rPr>
        <w:t>安全技术</w:t>
      </w:r>
      <w:r>
        <w:rPr>
          <w:rFonts w:hint="eastAsia" w:asciiTheme="minorEastAsia" w:hAnsiTheme="minorEastAsia" w:eastAsiaTheme="minorEastAsia"/>
          <w:szCs w:val="21"/>
          <w:lang w:val="de-DE"/>
        </w:rPr>
        <w:t>　</w:t>
      </w:r>
      <w:r>
        <w:rPr>
          <w:rFonts w:hint="eastAsia" w:hAnsi="宋体"/>
          <w:szCs w:val="21"/>
          <w:lang w:val="de-DE"/>
        </w:rPr>
        <w:t>信息安全管理体系</w:t>
      </w:r>
      <w:r>
        <w:rPr>
          <w:rFonts w:hint="eastAsia" w:asciiTheme="minorEastAsia" w:hAnsiTheme="minorEastAsia" w:eastAsiaTheme="minorEastAsia"/>
          <w:szCs w:val="21"/>
          <w:lang w:val="de-DE"/>
        </w:rPr>
        <w:t>　</w:t>
      </w:r>
      <w:r>
        <w:rPr>
          <w:rFonts w:hint="eastAsia" w:hAnsi="宋体"/>
          <w:szCs w:val="21"/>
          <w:lang w:val="de-DE"/>
        </w:rPr>
        <w:t>要求（ISO/IEC 27001:20</w:t>
      </w:r>
      <w:r>
        <w:rPr>
          <w:rFonts w:hint="eastAsia" w:hAnsi="宋体"/>
          <w:szCs w:val="21"/>
        </w:rPr>
        <w:t>22</w:t>
      </w:r>
      <w:r>
        <w:rPr>
          <w:rFonts w:hAnsi="宋体"/>
          <w:szCs w:val="21"/>
          <w:lang w:val="de-DE"/>
        </w:rPr>
        <w:t>,IDT</w:t>
      </w:r>
      <w:r>
        <w:rPr>
          <w:rFonts w:hint="eastAsia" w:hAnsi="宋体"/>
          <w:szCs w:val="21"/>
          <w:lang w:val="de-DE"/>
        </w:rPr>
        <w:t>）</w:t>
      </w:r>
    </w:p>
    <w:p w14:paraId="53BA87FE">
      <w:pPr>
        <w:pStyle w:val="36"/>
        <w:rPr>
          <w:rFonts w:hAnsi="宋体"/>
          <w:szCs w:val="21"/>
          <w:lang w:val="de-DE"/>
        </w:rPr>
      </w:pPr>
      <w:r>
        <w:rPr>
          <w:rFonts w:hAnsi="宋体"/>
          <w:szCs w:val="21"/>
          <w:lang w:val="de-DE"/>
        </w:rPr>
        <w:t>GB/T 27021.</w:t>
      </w:r>
      <w:r>
        <w:rPr>
          <w:rFonts w:hint="eastAsia" w:hAnsi="宋体"/>
          <w:szCs w:val="21"/>
          <w:lang w:val="de-DE"/>
        </w:rPr>
        <w:t>1</w:t>
      </w:r>
      <w:r>
        <w:rPr>
          <w:rFonts w:hint="eastAsia"/>
        </w:rPr>
        <w:t>—</w:t>
      </w:r>
      <w:r>
        <w:rPr>
          <w:rFonts w:hAnsi="宋体"/>
          <w:szCs w:val="21"/>
          <w:lang w:val="de-DE"/>
        </w:rPr>
        <w:t>2017</w:t>
      </w:r>
      <w:r>
        <w:rPr>
          <w:rFonts w:hint="eastAsia" w:asciiTheme="minorEastAsia" w:hAnsiTheme="minorEastAsia" w:eastAsiaTheme="minorEastAsia"/>
          <w:szCs w:val="21"/>
          <w:lang w:val="de-DE"/>
        </w:rPr>
        <w:t>　</w:t>
      </w:r>
      <w:r>
        <w:rPr>
          <w:rFonts w:hint="eastAsia" w:hAnsi="宋体"/>
          <w:szCs w:val="21"/>
          <w:lang w:val="de-DE"/>
        </w:rPr>
        <w:t>合格评定</w:t>
      </w:r>
      <w:r>
        <w:rPr>
          <w:rFonts w:hint="eastAsia" w:asciiTheme="minorEastAsia" w:hAnsiTheme="minorEastAsia" w:eastAsiaTheme="minorEastAsia"/>
          <w:szCs w:val="21"/>
          <w:lang w:val="de-DE"/>
        </w:rPr>
        <w:t>　</w:t>
      </w:r>
      <w:r>
        <w:rPr>
          <w:rFonts w:hint="eastAsia" w:hAnsi="宋体"/>
          <w:szCs w:val="21"/>
          <w:lang w:val="de-DE"/>
        </w:rPr>
        <w:t>管理体系审核认证机构要求</w:t>
      </w:r>
      <w:r>
        <w:rPr>
          <w:rFonts w:hint="eastAsia" w:asciiTheme="minorEastAsia" w:hAnsiTheme="minorEastAsia" w:eastAsiaTheme="minorEastAsia"/>
          <w:szCs w:val="21"/>
          <w:lang w:val="de-DE"/>
        </w:rPr>
        <w:t>　</w:t>
      </w:r>
      <w:r>
        <w:rPr>
          <w:rFonts w:hint="eastAsia" w:hAnsi="宋体"/>
          <w:szCs w:val="21"/>
          <w:lang w:val="de-DE"/>
        </w:rPr>
        <w:t>第1部分：要求（</w:t>
      </w:r>
      <w:r>
        <w:rPr>
          <w:rFonts w:hAnsi="宋体"/>
          <w:szCs w:val="21"/>
          <w:lang w:val="de-DE"/>
        </w:rPr>
        <w:t>ISO/IEC 17021</w:t>
      </w:r>
      <w:r>
        <w:rPr>
          <w:rFonts w:hint="eastAsia"/>
        </w:rPr>
        <w:t>—</w:t>
      </w:r>
      <w:r>
        <w:rPr>
          <w:rFonts w:hAnsi="宋体"/>
          <w:szCs w:val="21"/>
          <w:lang w:val="de-DE"/>
        </w:rPr>
        <w:t>1:2015,IDT</w:t>
      </w:r>
      <w:r>
        <w:rPr>
          <w:rFonts w:hint="eastAsia" w:hAnsi="宋体"/>
          <w:szCs w:val="21"/>
          <w:lang w:val="de-DE"/>
        </w:rPr>
        <w:t>）</w:t>
      </w:r>
    </w:p>
    <w:p w14:paraId="595BE344">
      <w:pPr>
        <w:pStyle w:val="69"/>
        <w:numPr>
          <w:ilvl w:val="1"/>
          <w:numId w:val="19"/>
        </w:numPr>
        <w:spacing w:before="312" w:after="312"/>
        <w:ind w:left="0"/>
      </w:pPr>
      <w:bookmarkStart w:id="37" w:name="_Toc434010438"/>
      <w:bookmarkStart w:id="38" w:name="_Toc20766"/>
      <w:bookmarkStart w:id="39" w:name="_Toc19603"/>
      <w:bookmarkStart w:id="40" w:name="_Toc496168555"/>
      <w:r>
        <w:rPr>
          <w:rFonts w:hint="eastAsia"/>
        </w:rPr>
        <w:t>术语和定义</w:t>
      </w:r>
      <w:bookmarkEnd w:id="37"/>
      <w:bookmarkEnd w:id="38"/>
      <w:bookmarkEnd w:id="39"/>
      <w:bookmarkEnd w:id="40"/>
    </w:p>
    <w:p w14:paraId="147EC080">
      <w:pPr>
        <w:pStyle w:val="36"/>
        <w:rPr>
          <w:rFonts w:hAnsi="宋体"/>
          <w:szCs w:val="21"/>
          <w:lang w:val="de-DE"/>
        </w:rPr>
      </w:pPr>
      <w:r>
        <w:rPr>
          <w:rFonts w:hint="eastAsia" w:hAnsi="宋体"/>
          <w:szCs w:val="21"/>
        </w:rPr>
        <w:t>GB/T 27021.1</w:t>
      </w:r>
      <w:r>
        <w:rPr>
          <w:rFonts w:hint="eastAsia"/>
        </w:rPr>
        <w:t>—</w:t>
      </w:r>
      <w:r>
        <w:rPr>
          <w:rFonts w:hAnsi="宋体"/>
          <w:szCs w:val="21"/>
        </w:rPr>
        <w:t>2017</w:t>
      </w:r>
      <w:r>
        <w:rPr>
          <w:rFonts w:hint="eastAsia" w:hAnsi="宋体"/>
          <w:szCs w:val="21"/>
          <w:lang w:val="de-DE"/>
        </w:rPr>
        <w:t>界定的以及下列术语和定义适用于本文件。</w:t>
      </w:r>
    </w:p>
    <w:p w14:paraId="7F128EAF">
      <w:pPr>
        <w:pStyle w:val="36"/>
        <w:rPr>
          <w:rFonts w:hAnsi="宋体"/>
          <w:szCs w:val="21"/>
          <w:lang w:val="de-DE"/>
        </w:rPr>
      </w:pPr>
      <w:r>
        <w:rPr>
          <w:rFonts w:hint="eastAsia" w:hAnsi="宋体"/>
          <w:szCs w:val="21"/>
          <w:lang w:val="de-DE"/>
        </w:rPr>
        <w:t>ISO和IEC维护用于标准化的术语数据库，地址如下：</w:t>
      </w:r>
    </w:p>
    <w:p w14:paraId="2A10A73E">
      <w:pPr>
        <w:pStyle w:val="36"/>
        <w:rPr>
          <w:rFonts w:hAnsi="宋体"/>
          <w:szCs w:val="21"/>
          <w:lang w:val="de-DE"/>
        </w:rPr>
      </w:pPr>
      <w:r>
        <w:rPr>
          <w:rFonts w:hint="eastAsia" w:hAnsi="宋体"/>
          <w:szCs w:val="21"/>
          <w:lang w:val="de-DE"/>
        </w:rPr>
        <w:t>——ISO在线浏览平台：http://www.iso.org/obp</w:t>
      </w:r>
    </w:p>
    <w:p w14:paraId="1B1D8F39">
      <w:pPr>
        <w:pStyle w:val="36"/>
        <w:rPr>
          <w:rFonts w:hAnsi="宋体"/>
          <w:szCs w:val="21"/>
          <w:lang w:val="de-DE"/>
        </w:rPr>
      </w:pPr>
      <w:r>
        <w:rPr>
          <w:rFonts w:hint="eastAsia" w:hAnsi="宋体"/>
          <w:szCs w:val="21"/>
          <w:lang w:val="de-DE"/>
        </w:rPr>
        <w:t>——IEC电子百科：http://www.electropedia.org</w:t>
      </w:r>
    </w:p>
    <w:p w14:paraId="4EBFD23A">
      <w:pPr>
        <w:numPr>
          <w:ilvl w:val="0"/>
          <w:numId w:val="20"/>
        </w:numPr>
        <w:spacing w:line="300" w:lineRule="auto"/>
        <w:rPr>
          <w:rFonts w:ascii="宋体" w:hAnsi="宋体"/>
          <w:szCs w:val="21"/>
          <w:lang w:val="de-DE"/>
        </w:rPr>
      </w:pPr>
    </w:p>
    <w:p w14:paraId="1B743F68">
      <w:pPr>
        <w:pStyle w:val="36"/>
        <w:rPr>
          <w:rFonts w:ascii="黑体" w:hAnsi="黑体" w:eastAsia="黑体"/>
          <w:bCs/>
          <w:szCs w:val="21"/>
          <w:lang w:val="de-DE"/>
        </w:rPr>
      </w:pPr>
      <w:r>
        <w:rPr>
          <w:rFonts w:hint="eastAsia" w:ascii="黑体" w:hAnsi="黑体" w:eastAsia="黑体"/>
          <w:bCs/>
          <w:szCs w:val="21"/>
        </w:rPr>
        <w:t>认证文件</w:t>
      </w:r>
      <w:r>
        <w:rPr>
          <w:rFonts w:hint="eastAsia" w:ascii="黑体" w:hAnsi="黑体" w:eastAsia="黑体"/>
          <w:bCs/>
          <w:szCs w:val="21"/>
          <w:lang w:val="de-DE"/>
        </w:rPr>
        <w:t xml:space="preserve">  certification document</w:t>
      </w:r>
    </w:p>
    <w:p w14:paraId="3FBF4304">
      <w:pPr>
        <w:pStyle w:val="36"/>
        <w:rPr>
          <w:rFonts w:hAnsi="宋体"/>
          <w:szCs w:val="21"/>
          <w:lang w:val="de-DE"/>
        </w:rPr>
      </w:pPr>
      <w:r>
        <w:rPr>
          <w:rFonts w:hint="eastAsia" w:hAnsi="宋体"/>
          <w:szCs w:val="21"/>
          <w:lang w:val="de-DE"/>
        </w:rPr>
        <w:t>表明客户的ISMS符合指定的ISMS标准及ISMS所要求的任何补充性文件的一类文件。</w:t>
      </w:r>
    </w:p>
    <w:p w14:paraId="7D835008">
      <w:pPr>
        <w:ind w:left="780" w:leftChars="200" w:hanging="360" w:hangingChars="200"/>
        <w:rPr>
          <w:rFonts w:hint="eastAsia" w:ascii="宋体" w:hAnsi="宋体" w:cs="宋体"/>
          <w:sz w:val="18"/>
          <w:szCs w:val="18"/>
          <w:lang w:val="de-DE"/>
        </w:rPr>
      </w:pPr>
      <w:r>
        <w:rPr>
          <w:rFonts w:hint="eastAsia" w:ascii="黑体" w:hAnsi="黑体" w:eastAsia="黑体" w:cs="宋体"/>
          <w:kern w:val="2"/>
          <w:sz w:val="18"/>
          <w:szCs w:val="18"/>
          <w:lang w:val="de-DE"/>
        </w:rPr>
        <w:t>注：</w:t>
      </w:r>
      <w:r>
        <w:rPr>
          <w:rFonts w:hint="eastAsia" w:ascii="宋体" w:hAnsi="宋体" w:cs="宋体"/>
          <w:sz w:val="18"/>
          <w:szCs w:val="18"/>
          <w:lang w:val="de-DE"/>
        </w:rPr>
        <w:t>本定义并没有限制</w:t>
      </w:r>
      <w:r>
        <w:rPr>
          <w:rFonts w:hint="eastAsia" w:ascii="宋体" w:hAnsi="宋体" w:cs="宋体"/>
          <w:sz w:val="18"/>
          <w:szCs w:val="18"/>
          <w:lang w:val="de-DE" w:eastAsia="zh-CN"/>
        </w:rPr>
        <w:t>统称为</w:t>
      </w:r>
      <w:r>
        <w:rPr>
          <w:rFonts w:hint="eastAsia" w:ascii="宋体" w:hAnsi="宋体" w:cs="宋体"/>
          <w:sz w:val="18"/>
          <w:szCs w:val="18"/>
          <w:lang w:val="de-DE"/>
        </w:rPr>
        <w:t>认证文件的文件数量。</w:t>
      </w:r>
    </w:p>
    <w:p w14:paraId="39F452B1">
      <w:pPr>
        <w:numPr>
          <w:ilvl w:val="0"/>
          <w:numId w:val="20"/>
        </w:numPr>
        <w:spacing w:line="300" w:lineRule="auto"/>
        <w:rPr>
          <w:rFonts w:ascii="黑体" w:hAnsi="黑体" w:eastAsia="黑体"/>
        </w:rPr>
      </w:pPr>
    </w:p>
    <w:p w14:paraId="7528AAAD">
      <w:pPr>
        <w:pStyle w:val="36"/>
        <w:rPr>
          <w:rFonts w:ascii="黑体" w:hAnsi="黑体" w:eastAsia="黑体"/>
          <w:bCs/>
          <w:szCs w:val="21"/>
        </w:rPr>
      </w:pPr>
      <w:r>
        <w:rPr>
          <w:rFonts w:hint="eastAsia" w:ascii="黑体" w:hAnsi="黑体" w:eastAsia="黑体"/>
          <w:bCs/>
          <w:szCs w:val="21"/>
        </w:rPr>
        <w:t>控制　control</w:t>
      </w:r>
    </w:p>
    <w:p w14:paraId="26771AD1">
      <w:pPr>
        <w:pStyle w:val="257"/>
        <w:ind w:firstLine="420"/>
        <w:rPr>
          <w:rFonts w:hAnsi="宋体"/>
        </w:rPr>
      </w:pPr>
      <w:r>
        <w:rPr>
          <w:rFonts w:hint="eastAsia" w:hAnsi="宋体"/>
        </w:rPr>
        <w:t>保持和/或改变风险</w:t>
      </w:r>
      <w:r>
        <w:rPr>
          <w:rFonts w:hint="eastAsia" w:hAnsi="Times New Roman" w:cs="宋体"/>
          <w:kern w:val="2"/>
          <w:szCs w:val="21"/>
          <w:lang w:val="de-DE" w:eastAsia="zh-CN"/>
        </w:rPr>
        <w:t>（3.10）</w:t>
      </w:r>
      <w:r>
        <w:rPr>
          <w:rFonts w:hint="eastAsia" w:hAnsi="宋体"/>
        </w:rPr>
        <w:t>的措施。</w:t>
      </w:r>
    </w:p>
    <w:p w14:paraId="047B5F92">
      <w:pPr>
        <w:pStyle w:val="258"/>
        <w:ind w:left="870" w:leftChars="200" w:hanging="450" w:hangingChars="250"/>
      </w:pPr>
      <w:r>
        <w:rPr>
          <w:rFonts w:hint="eastAsia" w:ascii="黑体" w:hAnsi="黑体" w:eastAsia="黑体" w:cs="宋体"/>
          <w:kern w:val="2"/>
          <w:sz w:val="18"/>
          <w:szCs w:val="18"/>
          <w:lang w:val="de-DE"/>
        </w:rPr>
        <w:t>注</w:t>
      </w:r>
      <w:r>
        <w:rPr>
          <w:rFonts w:hint="eastAsia" w:ascii="黑体" w:hAnsi="黑体" w:eastAsia="黑体" w:cs="宋体"/>
          <w:kern w:val="2"/>
          <w:sz w:val="18"/>
          <w:szCs w:val="18"/>
          <w:lang w:val="en-US" w:eastAsia="zh-CN"/>
        </w:rPr>
        <w:t>1</w:t>
      </w:r>
      <w:r>
        <w:rPr>
          <w:rFonts w:hint="eastAsia" w:ascii="黑体" w:hAnsi="黑体" w:eastAsia="黑体" w:cs="宋体"/>
          <w:kern w:val="2"/>
          <w:sz w:val="18"/>
          <w:szCs w:val="18"/>
          <w:lang w:val="de-DE"/>
        </w:rPr>
        <w:t>：</w:t>
      </w:r>
      <w:r>
        <w:rPr>
          <w:rFonts w:hint="eastAsia"/>
        </w:rPr>
        <w:t>控制包括但不限于保持和/或改变风险</w:t>
      </w:r>
      <w:r>
        <w:rPr>
          <w:rFonts w:hint="eastAsia"/>
          <w:lang w:eastAsia="zh-CN"/>
        </w:rPr>
        <w:t>（</w:t>
      </w:r>
      <w:r>
        <w:rPr>
          <w:rFonts w:hint="eastAsia"/>
          <w:lang w:val="en-US" w:eastAsia="zh-CN"/>
        </w:rPr>
        <w:t>3.10</w:t>
      </w:r>
      <w:r>
        <w:rPr>
          <w:rFonts w:hint="eastAsia"/>
          <w:lang w:eastAsia="zh-CN"/>
        </w:rPr>
        <w:t>）</w:t>
      </w:r>
      <w:r>
        <w:rPr>
          <w:rFonts w:hint="eastAsia"/>
        </w:rPr>
        <w:t>的任何过程、方针、设备、实践或其他条件和/或行动。</w:t>
      </w:r>
    </w:p>
    <w:p w14:paraId="046FC301">
      <w:pPr>
        <w:pStyle w:val="258"/>
        <w:ind w:left="870" w:leftChars="200" w:hanging="450" w:hangingChars="250"/>
      </w:pPr>
      <w:r>
        <w:rPr>
          <w:rFonts w:hint="eastAsia" w:ascii="黑体" w:hAnsi="黑体" w:eastAsia="黑体" w:cs="宋体"/>
          <w:kern w:val="2"/>
          <w:sz w:val="18"/>
          <w:szCs w:val="18"/>
          <w:lang w:val="de-DE"/>
        </w:rPr>
        <w:t>注</w:t>
      </w:r>
      <w:r>
        <w:rPr>
          <w:rFonts w:hint="eastAsia" w:ascii="黑体" w:hAnsi="黑体" w:eastAsia="黑体" w:cs="宋体"/>
          <w:kern w:val="2"/>
          <w:sz w:val="18"/>
          <w:szCs w:val="18"/>
          <w:lang w:val="en-US" w:eastAsia="zh-CN"/>
        </w:rPr>
        <w:t>2</w:t>
      </w:r>
      <w:r>
        <w:rPr>
          <w:rFonts w:hint="eastAsia" w:ascii="黑体" w:hAnsi="黑体" w:eastAsia="黑体" w:cs="宋体"/>
          <w:kern w:val="2"/>
          <w:sz w:val="18"/>
          <w:szCs w:val="18"/>
          <w:lang w:val="de-DE"/>
        </w:rPr>
        <w:t>：</w:t>
      </w:r>
      <w:r>
        <w:rPr>
          <w:rFonts w:hint="eastAsia"/>
        </w:rPr>
        <w:t>控制并非总能取得预期的改变效果。</w:t>
      </w:r>
    </w:p>
    <w:p w14:paraId="7E7C30F7">
      <w:pPr>
        <w:pStyle w:val="257"/>
        <w:ind w:firstLine="420"/>
        <w:rPr>
          <w:rFonts w:hAnsi="宋体"/>
          <w:szCs w:val="21"/>
        </w:rPr>
      </w:pPr>
      <w:r>
        <w:rPr>
          <w:rFonts w:hint="eastAsia" w:hAnsi="宋体"/>
        </w:rPr>
        <w:t>[来源：GB/T 22081—2024，3.1.8]</w:t>
      </w:r>
    </w:p>
    <w:p w14:paraId="2AE9BAB1">
      <w:pPr>
        <w:numPr>
          <w:ilvl w:val="0"/>
          <w:numId w:val="20"/>
        </w:numPr>
        <w:spacing w:line="300" w:lineRule="auto"/>
        <w:rPr>
          <w:lang w:val="de-DE"/>
        </w:rPr>
      </w:pPr>
      <w:bookmarkStart w:id="41" w:name="_Toc108462623"/>
      <w:bookmarkStart w:id="42" w:name="_Toc68209703"/>
      <w:bookmarkStart w:id="43" w:name="_Toc458111244"/>
      <w:bookmarkStart w:id="44" w:name="_Ref90915947"/>
      <w:bookmarkStart w:id="45" w:name="_Toc107222867"/>
      <w:bookmarkStart w:id="46" w:name="_Toc471835270"/>
      <w:bookmarkStart w:id="47" w:name="_Ref107218935"/>
      <w:bookmarkStart w:id="48" w:name="_Toc108462251"/>
    </w:p>
    <w:p w14:paraId="07C2EBA6">
      <w:pPr>
        <w:pStyle w:val="36"/>
        <w:rPr>
          <w:rFonts w:ascii="黑体" w:hAnsi="黑体" w:eastAsia="黑体"/>
          <w:bCs/>
          <w:szCs w:val="21"/>
          <w:lang w:val="de-DE"/>
        </w:rPr>
      </w:pPr>
      <w:r>
        <w:rPr>
          <w:rFonts w:hint="eastAsia" w:ascii="黑体" w:hAnsi="黑体" w:eastAsia="黑体"/>
          <w:bCs/>
          <w:szCs w:val="21"/>
          <w:lang w:val="de-DE"/>
        </w:rPr>
        <w:t>外部</w:t>
      </w:r>
      <w:r>
        <w:rPr>
          <w:rFonts w:hint="eastAsia" w:ascii="黑体" w:hAnsi="黑体" w:eastAsia="黑体"/>
          <w:bCs/>
          <w:szCs w:val="21"/>
        </w:rPr>
        <w:t>环境</w:t>
      </w:r>
      <w:r>
        <w:rPr>
          <w:rFonts w:hint="eastAsia" w:ascii="黑体" w:hAnsi="黑体" w:eastAsia="黑体"/>
          <w:bCs/>
          <w:szCs w:val="21"/>
          <w:lang w:val="de-DE"/>
        </w:rPr>
        <w:t>　external context</w:t>
      </w:r>
      <w:bookmarkEnd w:id="41"/>
      <w:bookmarkEnd w:id="42"/>
      <w:bookmarkEnd w:id="43"/>
      <w:bookmarkEnd w:id="44"/>
      <w:bookmarkEnd w:id="45"/>
      <w:bookmarkEnd w:id="46"/>
      <w:bookmarkEnd w:id="47"/>
      <w:bookmarkEnd w:id="48"/>
    </w:p>
    <w:p w14:paraId="630F6657">
      <w:pPr>
        <w:ind w:firstLine="420" w:firstLineChars="200"/>
        <w:rPr>
          <w:rFonts w:ascii="宋体" w:cs="宋体"/>
          <w:szCs w:val="21"/>
          <w:lang w:val="de-DE"/>
        </w:rPr>
      </w:pPr>
      <w:r>
        <w:rPr>
          <w:rFonts w:hint="eastAsia" w:ascii="宋体" w:cs="宋体"/>
          <w:szCs w:val="21"/>
          <w:lang w:val="de-DE"/>
        </w:rPr>
        <w:t>组织（</w:t>
      </w:r>
      <w:r>
        <w:rPr>
          <w:rFonts w:ascii="宋体" w:cs="宋体"/>
          <w:szCs w:val="21"/>
          <w:lang w:val="de-DE"/>
        </w:rPr>
        <w:fldChar w:fldCharType="begin"/>
      </w:r>
      <w:r>
        <w:rPr>
          <w:rFonts w:ascii="宋体" w:cs="宋体"/>
          <w:szCs w:val="21"/>
          <w:lang w:val="de-DE"/>
        </w:rPr>
        <w:instrText xml:space="preserve"> </w:instrText>
      </w:r>
      <w:r>
        <w:rPr>
          <w:rFonts w:hint="eastAsia" w:ascii="宋体" w:cs="宋体"/>
          <w:szCs w:val="21"/>
          <w:lang w:val="de-DE"/>
        </w:rPr>
        <w:instrText xml:space="preserve">REF _Ref90914403 \r \h</w:instrText>
      </w:r>
      <w:r>
        <w:rPr>
          <w:rFonts w:ascii="宋体" w:cs="宋体"/>
          <w:szCs w:val="21"/>
          <w:lang w:val="de-DE"/>
        </w:rPr>
        <w:instrText xml:space="preserve">  \* MERGEFORMAT </w:instrText>
      </w:r>
      <w:r>
        <w:rPr>
          <w:rFonts w:ascii="宋体" w:cs="宋体"/>
          <w:szCs w:val="21"/>
          <w:lang w:val="de-DE"/>
        </w:rPr>
        <w:fldChar w:fldCharType="separate"/>
      </w:r>
      <w:r>
        <w:rPr>
          <w:rFonts w:ascii="宋体" w:cs="宋体"/>
          <w:szCs w:val="21"/>
          <w:lang w:val="de-DE"/>
        </w:rPr>
        <w:t>3.</w:t>
      </w:r>
      <w:r>
        <w:rPr>
          <w:rFonts w:hint="eastAsia" w:ascii="宋体" w:cs="宋体"/>
          <w:szCs w:val="21"/>
        </w:rPr>
        <w:t>9</w:t>
      </w:r>
      <w:r>
        <w:rPr>
          <w:rFonts w:ascii="宋体" w:cs="宋体"/>
          <w:szCs w:val="21"/>
          <w:lang w:val="de-DE"/>
        </w:rPr>
        <w:fldChar w:fldCharType="end"/>
      </w:r>
      <w:r>
        <w:rPr>
          <w:rFonts w:hint="eastAsia" w:ascii="宋体" w:cs="宋体"/>
          <w:szCs w:val="21"/>
          <w:lang w:val="de-DE"/>
        </w:rPr>
        <w:t>）寻求实现其目标</w:t>
      </w:r>
      <w:r>
        <w:rPr>
          <w:rFonts w:hint="eastAsia" w:ascii="宋体" w:cs="宋体"/>
          <w:szCs w:val="21"/>
          <w:lang w:val="en-US" w:eastAsia="zh-CN"/>
        </w:rPr>
        <w:t>时所处</w:t>
      </w:r>
      <w:r>
        <w:rPr>
          <w:rFonts w:hint="eastAsia" w:ascii="宋体" w:cs="宋体"/>
          <w:szCs w:val="21"/>
          <w:lang w:val="de-DE"/>
        </w:rPr>
        <w:t>的外部</w:t>
      </w:r>
      <w:r>
        <w:rPr>
          <w:rFonts w:hint="eastAsia" w:ascii="宋体" w:cs="宋体"/>
          <w:szCs w:val="21"/>
        </w:rPr>
        <w:t>状况</w:t>
      </w:r>
      <w:r>
        <w:rPr>
          <w:rFonts w:hint="eastAsia" w:ascii="宋体" w:cs="宋体"/>
          <w:szCs w:val="21"/>
          <w:lang w:val="de-DE"/>
        </w:rPr>
        <w:t>。</w:t>
      </w:r>
    </w:p>
    <w:p w14:paraId="2474939E">
      <w:pPr>
        <w:ind w:left="780" w:leftChars="200" w:hanging="360" w:hangingChars="200"/>
        <w:rPr>
          <w:rFonts w:ascii="宋体" w:hAnsi="宋体" w:cs="宋体"/>
          <w:sz w:val="18"/>
          <w:szCs w:val="18"/>
          <w:lang w:val="de-DE"/>
        </w:rPr>
      </w:pPr>
      <w:r>
        <w:rPr>
          <w:rFonts w:hint="eastAsia" w:ascii="黑体" w:hAnsi="黑体" w:eastAsia="黑体" w:cs="宋体"/>
          <w:sz w:val="18"/>
          <w:szCs w:val="18"/>
          <w:lang w:val="de-DE"/>
        </w:rPr>
        <w:t>注：</w:t>
      </w:r>
      <w:r>
        <w:rPr>
          <w:rFonts w:hint="eastAsia" w:ascii="宋体" w:hAnsi="宋体" w:cs="宋体"/>
          <w:sz w:val="18"/>
          <w:szCs w:val="18"/>
          <w:lang w:val="de-DE"/>
        </w:rPr>
        <w:t>外部</w:t>
      </w:r>
      <w:r>
        <w:rPr>
          <w:rFonts w:hint="eastAsia" w:ascii="宋体" w:hAnsi="宋体" w:cs="宋体"/>
          <w:sz w:val="18"/>
          <w:szCs w:val="18"/>
        </w:rPr>
        <w:t>环境</w:t>
      </w:r>
      <w:r>
        <w:rPr>
          <w:rFonts w:hint="eastAsia" w:ascii="宋体" w:hAnsi="宋体" w:cs="宋体"/>
          <w:sz w:val="18"/>
          <w:szCs w:val="18"/>
          <w:lang w:val="de-DE"/>
        </w:rPr>
        <w:t>可能包括如下方面：</w:t>
      </w:r>
    </w:p>
    <w:p w14:paraId="0A9D38E4">
      <w:pPr>
        <w:pStyle w:val="36"/>
        <w:ind w:left="1200" w:leftChars="400" w:hanging="360" w:hangingChars="200"/>
        <w:rPr>
          <w:rFonts w:ascii="Times New Roman"/>
          <w:sz w:val="18"/>
          <w:szCs w:val="18"/>
          <w:lang w:val="de-DE"/>
        </w:rPr>
      </w:pPr>
      <w:r>
        <w:rPr>
          <w:rFonts w:ascii="Times New Roman"/>
          <w:sz w:val="18"/>
          <w:szCs w:val="18"/>
          <w:lang w:val="de-DE"/>
        </w:rPr>
        <w:t>——文化、社会、政治、法律、监管、金融、技术、经济、自然和竞争环境，无论是国际的、国家的、地区的还是地方的；</w:t>
      </w:r>
    </w:p>
    <w:p w14:paraId="3F093B95">
      <w:pPr>
        <w:pStyle w:val="36"/>
        <w:ind w:left="1200" w:leftChars="400" w:hanging="360" w:hangingChars="200"/>
        <w:rPr>
          <w:rFonts w:ascii="Times New Roman"/>
          <w:sz w:val="18"/>
          <w:szCs w:val="18"/>
          <w:lang w:val="de-DE"/>
        </w:rPr>
      </w:pPr>
      <w:r>
        <w:rPr>
          <w:rFonts w:ascii="Times New Roman"/>
          <w:sz w:val="18"/>
          <w:szCs w:val="18"/>
          <w:lang w:val="de-DE"/>
        </w:rPr>
        <w:t>——影响组织（</w:t>
      </w:r>
      <w:r>
        <w:rPr>
          <w:rFonts w:ascii="Times New Roman"/>
          <w:sz w:val="18"/>
          <w:szCs w:val="18"/>
          <w:lang w:val="de-DE"/>
        </w:rPr>
        <w:fldChar w:fldCharType="begin"/>
      </w:r>
      <w:r>
        <w:rPr>
          <w:rFonts w:ascii="Times New Roman"/>
          <w:sz w:val="18"/>
          <w:szCs w:val="18"/>
          <w:lang w:val="de-DE"/>
        </w:rPr>
        <w:instrText xml:space="preserve"> REF _Ref90914426 \r \h </w:instrText>
      </w:r>
      <w:r>
        <w:rPr>
          <w:rFonts w:ascii="Times New Roman"/>
          <w:sz w:val="18"/>
          <w:szCs w:val="18"/>
          <w:lang w:val="de-DE"/>
        </w:rPr>
        <w:fldChar w:fldCharType="separate"/>
      </w:r>
      <w:r>
        <w:rPr>
          <w:rFonts w:ascii="Times New Roman"/>
          <w:sz w:val="18"/>
          <w:szCs w:val="18"/>
          <w:lang w:val="de-DE"/>
        </w:rPr>
        <w:t>3.</w:t>
      </w:r>
      <w:r>
        <w:rPr>
          <w:rFonts w:hint="eastAsia" w:ascii="Times New Roman"/>
          <w:sz w:val="18"/>
          <w:szCs w:val="18"/>
        </w:rPr>
        <w:t>9</w:t>
      </w:r>
      <w:r>
        <w:rPr>
          <w:rFonts w:ascii="Times New Roman"/>
          <w:sz w:val="18"/>
          <w:szCs w:val="18"/>
          <w:lang w:val="de-DE"/>
        </w:rPr>
        <w:fldChar w:fldCharType="end"/>
      </w:r>
      <w:r>
        <w:rPr>
          <w:rFonts w:ascii="Times New Roman"/>
          <w:sz w:val="18"/>
          <w:szCs w:val="18"/>
          <w:lang w:val="de-DE"/>
        </w:rPr>
        <w:t>）目标的关键驱动力和趋势；</w:t>
      </w:r>
    </w:p>
    <w:p w14:paraId="5E768BC7">
      <w:pPr>
        <w:pStyle w:val="36"/>
        <w:ind w:left="1200" w:leftChars="400" w:hanging="360" w:hangingChars="200"/>
        <w:rPr>
          <w:rFonts w:ascii="Times New Roman"/>
          <w:sz w:val="18"/>
          <w:szCs w:val="18"/>
          <w:lang w:val="de-DE"/>
        </w:rPr>
      </w:pPr>
      <w:r>
        <w:rPr>
          <w:rFonts w:ascii="Times New Roman"/>
          <w:sz w:val="18"/>
          <w:szCs w:val="18"/>
          <w:lang w:val="de-DE"/>
        </w:rPr>
        <w:t>——与外部利益相关方的关系及其认知和价值观。</w:t>
      </w:r>
    </w:p>
    <w:p w14:paraId="3AB80B2F">
      <w:pPr>
        <w:ind w:firstLine="420" w:firstLineChars="200"/>
        <w:rPr>
          <w:rFonts w:ascii="宋体" w:hAnsi="宋体" w:cs="宋体"/>
          <w:szCs w:val="21"/>
          <w:lang w:val="de-DE"/>
        </w:rPr>
      </w:pPr>
      <w:r>
        <w:rPr>
          <w:rFonts w:ascii="宋体" w:hAnsi="宋体" w:cs="宋体"/>
          <w:szCs w:val="21"/>
          <w:lang w:val="de-DE"/>
        </w:rPr>
        <w:t>[</w:t>
      </w:r>
      <w:r>
        <w:rPr>
          <w:rFonts w:hint="eastAsia" w:ascii="宋体" w:hAnsi="宋体" w:cs="宋体"/>
          <w:szCs w:val="21"/>
          <w:lang w:val="de-DE"/>
        </w:rPr>
        <w:t>来源：</w:t>
      </w:r>
      <w:r>
        <w:rPr>
          <w:rFonts w:hint="eastAsia" w:ascii="宋体" w:hAnsi="宋体" w:cs="宋体"/>
          <w:szCs w:val="21"/>
          <w:lang w:eastAsia="zh-CN"/>
        </w:rPr>
        <w:t>GB/T 29246—2023</w:t>
      </w:r>
      <w:r>
        <w:rPr>
          <w:rFonts w:hint="eastAsia" w:ascii="宋体" w:cs="宋体"/>
          <w:szCs w:val="21"/>
          <w:lang w:val="de-DE"/>
        </w:rPr>
        <w:t>，</w:t>
      </w:r>
      <w:r>
        <w:rPr>
          <w:rFonts w:ascii="宋体" w:cs="宋体"/>
          <w:szCs w:val="21"/>
          <w:lang w:val="de-DE"/>
        </w:rPr>
        <w:t>3.</w:t>
      </w:r>
      <w:r>
        <w:rPr>
          <w:rFonts w:hint="eastAsia" w:ascii="宋体" w:cs="宋体"/>
          <w:szCs w:val="21"/>
        </w:rPr>
        <w:t>22</w:t>
      </w:r>
      <w:r>
        <w:rPr>
          <w:rFonts w:hint="eastAsia" w:ascii="宋体" w:cs="宋体"/>
          <w:szCs w:val="21"/>
          <w:lang w:eastAsia="zh-CN"/>
        </w:rPr>
        <w:t>，</w:t>
      </w:r>
      <w:r>
        <w:rPr>
          <w:rFonts w:hint="eastAsia" w:ascii="宋体" w:cs="宋体"/>
          <w:szCs w:val="21"/>
          <w:lang w:val="en-US" w:eastAsia="zh-CN"/>
        </w:rPr>
        <w:t>有修改</w:t>
      </w:r>
      <w:r>
        <w:rPr>
          <w:rFonts w:ascii="宋体" w:hAnsi="宋体" w:cs="宋体"/>
          <w:szCs w:val="21"/>
          <w:lang w:val="de-DE"/>
        </w:rPr>
        <w:t>]</w:t>
      </w:r>
    </w:p>
    <w:p w14:paraId="716BDCB0">
      <w:pPr>
        <w:numPr>
          <w:ilvl w:val="0"/>
          <w:numId w:val="20"/>
        </w:numPr>
        <w:spacing w:line="300" w:lineRule="auto"/>
        <w:rPr>
          <w:rFonts w:hAnsi="宋体"/>
          <w:szCs w:val="21"/>
        </w:rPr>
      </w:pPr>
    </w:p>
    <w:p w14:paraId="2F665EC1">
      <w:pPr>
        <w:pStyle w:val="36"/>
        <w:rPr>
          <w:rFonts w:ascii="黑体" w:hAnsi="黑体" w:eastAsia="黑体"/>
          <w:bCs/>
          <w:szCs w:val="21"/>
          <w:lang w:val="de-DE"/>
        </w:rPr>
      </w:pPr>
      <w:bookmarkStart w:id="49" w:name="_Toc471835276"/>
      <w:bookmarkStart w:id="50" w:name="_Ref90914638"/>
      <w:bookmarkStart w:id="51" w:name="_Ref90915012"/>
      <w:bookmarkStart w:id="52" w:name="_Ref90915000"/>
      <w:bookmarkStart w:id="53" w:name="_Ref90914595"/>
      <w:bookmarkStart w:id="54" w:name="_Ref90915331"/>
      <w:bookmarkStart w:id="55" w:name="_Ref90914467"/>
      <w:bookmarkStart w:id="56" w:name="_Ref90913254"/>
      <w:bookmarkStart w:id="57" w:name="_Toc68209709"/>
      <w:bookmarkStart w:id="58" w:name="_Ref90915376"/>
      <w:bookmarkStart w:id="59" w:name="_Toc108462629"/>
      <w:bookmarkStart w:id="60" w:name="_Toc458111250"/>
      <w:bookmarkStart w:id="61" w:name="_Toc107222873"/>
      <w:bookmarkStart w:id="62" w:name="_Ref107219763"/>
      <w:bookmarkStart w:id="63" w:name="_Ref90914572"/>
      <w:bookmarkStart w:id="64" w:name="_Toc108462257"/>
      <w:r>
        <w:rPr>
          <w:rFonts w:hint="eastAsia" w:ascii="黑体" w:hAnsi="黑体" w:eastAsia="黑体"/>
          <w:bCs/>
          <w:szCs w:val="21"/>
          <w:lang w:val="de-DE"/>
        </w:rPr>
        <w:t>信息安全　information security</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088583">
      <w:pPr>
        <w:ind w:firstLine="420" w:firstLineChars="200"/>
        <w:rPr>
          <w:rFonts w:ascii="宋体" w:cs="宋体"/>
          <w:szCs w:val="21"/>
          <w:lang w:val="de-DE"/>
        </w:rPr>
      </w:pPr>
      <w:r>
        <w:rPr>
          <w:rFonts w:hint="eastAsia" w:ascii="宋体" w:cs="宋体"/>
          <w:szCs w:val="21"/>
          <w:lang w:val="de-DE"/>
        </w:rPr>
        <w:t>对信息的保密性、完整性和可用性的保全。</w:t>
      </w:r>
    </w:p>
    <w:p w14:paraId="4CDA47D9">
      <w:pPr>
        <w:ind w:left="780" w:leftChars="200" w:hanging="360" w:hangingChars="200"/>
        <w:rPr>
          <w:rFonts w:hAnsi="宋体"/>
          <w:szCs w:val="21"/>
        </w:rPr>
      </w:pPr>
      <w:r>
        <w:rPr>
          <w:rFonts w:hint="eastAsia" w:ascii="黑体" w:hAnsi="黑体" w:eastAsia="黑体" w:cs="宋体"/>
          <w:sz w:val="18"/>
          <w:szCs w:val="18"/>
          <w:lang w:val="de-DE"/>
        </w:rPr>
        <w:t>注：</w:t>
      </w:r>
      <w:r>
        <w:rPr>
          <w:rFonts w:hint="eastAsia" w:ascii="宋体" w:hAnsi="宋体" w:cs="宋体"/>
          <w:sz w:val="18"/>
          <w:szCs w:val="18"/>
          <w:lang w:val="de-DE"/>
        </w:rPr>
        <w:t>另外，还</w:t>
      </w:r>
      <w:r>
        <w:rPr>
          <w:rFonts w:hint="eastAsia" w:ascii="宋体" w:hAnsi="宋体" w:cs="宋体"/>
          <w:sz w:val="18"/>
          <w:szCs w:val="18"/>
        </w:rPr>
        <w:t>可能</w:t>
      </w:r>
      <w:r>
        <w:rPr>
          <w:rFonts w:hint="eastAsia" w:ascii="宋体" w:hAnsi="宋体" w:cs="宋体"/>
          <w:sz w:val="18"/>
          <w:szCs w:val="18"/>
          <w:lang w:val="de-DE"/>
        </w:rPr>
        <w:t>包括诸如真实性、可问责性、抗抵赖性和可靠性等其他性质。</w:t>
      </w:r>
    </w:p>
    <w:p w14:paraId="33521594">
      <w:pPr>
        <w:ind w:firstLine="420" w:firstLineChars="200"/>
        <w:rPr>
          <w:rFonts w:ascii="宋体" w:hAnsi="宋体" w:cs="宋体"/>
          <w:szCs w:val="21"/>
          <w:lang w:val="de-DE"/>
        </w:rPr>
      </w:pPr>
      <w:r>
        <w:rPr>
          <w:rFonts w:ascii="宋体" w:hAnsi="宋体" w:cs="宋体"/>
          <w:szCs w:val="21"/>
          <w:lang w:val="de-DE"/>
        </w:rPr>
        <w:t>[</w:t>
      </w:r>
      <w:r>
        <w:rPr>
          <w:rFonts w:hint="eastAsia" w:ascii="宋体" w:hAnsi="宋体" w:cs="宋体"/>
          <w:szCs w:val="21"/>
          <w:lang w:val="de-DE"/>
        </w:rPr>
        <w:t>来源：</w:t>
      </w:r>
      <w:r>
        <w:rPr>
          <w:rFonts w:hint="eastAsia" w:ascii="宋体" w:hAnsi="宋体" w:cs="宋体"/>
          <w:szCs w:val="21"/>
          <w:lang w:eastAsia="zh-CN"/>
        </w:rPr>
        <w:t>GB/T 29246—2023</w:t>
      </w:r>
      <w:r>
        <w:rPr>
          <w:rFonts w:hint="eastAsia" w:ascii="宋体" w:cs="宋体"/>
          <w:szCs w:val="21"/>
          <w:lang w:val="de-DE"/>
        </w:rPr>
        <w:t>，</w:t>
      </w:r>
      <w:r>
        <w:rPr>
          <w:rFonts w:ascii="宋体" w:cs="宋体"/>
          <w:szCs w:val="21"/>
          <w:lang w:val="de-DE"/>
        </w:rPr>
        <w:t>3.</w:t>
      </w:r>
      <w:r>
        <w:rPr>
          <w:rFonts w:hint="eastAsia" w:ascii="宋体" w:cs="宋体"/>
          <w:szCs w:val="21"/>
        </w:rPr>
        <w:t>28</w:t>
      </w:r>
      <w:r>
        <w:rPr>
          <w:rFonts w:ascii="宋体" w:hAnsi="宋体" w:cs="宋体"/>
          <w:szCs w:val="21"/>
          <w:lang w:val="de-DE"/>
        </w:rPr>
        <w:t>]</w:t>
      </w:r>
    </w:p>
    <w:p w14:paraId="5A8AA514">
      <w:pPr>
        <w:numPr>
          <w:ilvl w:val="0"/>
          <w:numId w:val="20"/>
        </w:numPr>
        <w:spacing w:line="300" w:lineRule="auto"/>
        <w:rPr>
          <w:rFonts w:hAnsi="宋体"/>
          <w:szCs w:val="21"/>
        </w:rPr>
      </w:pPr>
    </w:p>
    <w:p w14:paraId="311FB92E">
      <w:pPr>
        <w:pStyle w:val="36"/>
        <w:rPr>
          <w:rFonts w:ascii="黑体" w:hAnsi="黑体" w:eastAsia="黑体"/>
          <w:bCs/>
          <w:szCs w:val="21"/>
          <w:lang w:val="de-DE"/>
        </w:rPr>
      </w:pPr>
      <w:bookmarkStart w:id="65" w:name="_Toc471835279"/>
      <w:bookmarkStart w:id="66" w:name="_Toc458111253"/>
      <w:bookmarkStart w:id="67" w:name="_Ref90914645"/>
      <w:bookmarkStart w:id="68" w:name="_Toc107222876"/>
      <w:bookmarkStart w:id="69" w:name="_Toc108462632"/>
      <w:bookmarkStart w:id="70" w:name="_Toc108462260"/>
      <w:bookmarkStart w:id="71" w:name="_Ref107219874"/>
      <w:bookmarkStart w:id="72" w:name="_Toc68209712"/>
      <w:r>
        <w:rPr>
          <w:rFonts w:hint="eastAsia" w:ascii="黑体" w:hAnsi="黑体" w:eastAsia="黑体"/>
          <w:bCs/>
          <w:szCs w:val="21"/>
          <w:lang w:val="de-DE"/>
        </w:rPr>
        <w:t>信息安全事件　information security incident</w:t>
      </w:r>
      <w:bookmarkEnd w:id="65"/>
      <w:bookmarkEnd w:id="66"/>
      <w:bookmarkEnd w:id="67"/>
      <w:bookmarkEnd w:id="68"/>
      <w:bookmarkEnd w:id="69"/>
      <w:bookmarkEnd w:id="70"/>
      <w:bookmarkEnd w:id="71"/>
      <w:bookmarkEnd w:id="72"/>
    </w:p>
    <w:p w14:paraId="1813117E">
      <w:pPr>
        <w:ind w:firstLine="420" w:firstLineChars="200"/>
        <w:rPr>
          <w:rFonts w:ascii="宋体" w:cs="宋体"/>
          <w:szCs w:val="21"/>
          <w:lang w:val="de-DE"/>
        </w:rPr>
      </w:pPr>
      <w:r>
        <w:rPr>
          <w:rFonts w:hint="eastAsia" w:ascii="宋体" w:cs="宋体"/>
          <w:szCs w:val="21"/>
          <w:lang w:val="de-DE"/>
        </w:rPr>
        <w:t>单个或一系列不希望或意外的、极有可能危及业务运营并威胁信息安全（</w:t>
      </w:r>
      <w:r>
        <w:rPr>
          <w:rFonts w:ascii="宋体" w:cs="宋体"/>
          <w:szCs w:val="21"/>
          <w:lang w:val="de-DE"/>
        </w:rPr>
        <w:fldChar w:fldCharType="begin"/>
      </w:r>
      <w:r>
        <w:rPr>
          <w:rFonts w:ascii="宋体" w:cs="宋体"/>
          <w:szCs w:val="21"/>
          <w:lang w:val="de-DE"/>
        </w:rPr>
        <w:instrText xml:space="preserve"> </w:instrText>
      </w:r>
      <w:r>
        <w:rPr>
          <w:rFonts w:hint="eastAsia" w:ascii="宋体" w:cs="宋体"/>
          <w:szCs w:val="21"/>
          <w:lang w:val="de-DE"/>
        </w:rPr>
        <w:instrText xml:space="preserve">REF _Ref90914638 \r \h</w:instrText>
      </w:r>
      <w:r>
        <w:rPr>
          <w:rFonts w:ascii="宋体" w:cs="宋体"/>
          <w:szCs w:val="21"/>
          <w:lang w:val="de-DE"/>
        </w:rPr>
        <w:instrText xml:space="preserve"> </w:instrText>
      </w:r>
      <w:r>
        <w:rPr>
          <w:rFonts w:ascii="宋体" w:cs="宋体"/>
          <w:szCs w:val="21"/>
          <w:lang w:val="de-DE"/>
        </w:rPr>
        <w:fldChar w:fldCharType="separate"/>
      </w:r>
      <w:r>
        <w:rPr>
          <w:rFonts w:ascii="宋体" w:cs="宋体"/>
          <w:szCs w:val="21"/>
          <w:lang w:val="de-DE"/>
        </w:rPr>
        <w:t>3.</w:t>
      </w:r>
      <w:r>
        <w:rPr>
          <w:rFonts w:hint="eastAsia" w:ascii="宋体" w:cs="宋体"/>
          <w:szCs w:val="21"/>
          <w:lang w:val="de-DE"/>
        </w:rPr>
        <w:t>4</w:t>
      </w:r>
      <w:r>
        <w:rPr>
          <w:rFonts w:ascii="宋体" w:cs="宋体"/>
          <w:szCs w:val="21"/>
          <w:lang w:val="de-DE"/>
        </w:rPr>
        <w:fldChar w:fldCharType="end"/>
      </w:r>
      <w:r>
        <w:rPr>
          <w:rFonts w:hint="eastAsia" w:ascii="宋体" w:cs="宋体"/>
          <w:szCs w:val="21"/>
          <w:lang w:val="de-DE"/>
        </w:rPr>
        <w:t>）的信息安全事态。</w:t>
      </w:r>
    </w:p>
    <w:p w14:paraId="7E652F56">
      <w:pPr>
        <w:ind w:firstLine="420" w:firstLineChars="200"/>
        <w:rPr>
          <w:rFonts w:ascii="宋体" w:hAnsi="宋体" w:cs="宋体"/>
          <w:szCs w:val="21"/>
          <w:lang w:val="de-DE"/>
        </w:rPr>
      </w:pPr>
      <w:r>
        <w:rPr>
          <w:rFonts w:ascii="宋体" w:hAnsi="宋体" w:cs="宋体"/>
          <w:szCs w:val="21"/>
          <w:lang w:val="de-DE"/>
        </w:rPr>
        <w:t>[</w:t>
      </w:r>
      <w:r>
        <w:rPr>
          <w:rFonts w:hint="eastAsia" w:ascii="宋体" w:hAnsi="宋体" w:cs="宋体"/>
          <w:szCs w:val="21"/>
          <w:lang w:val="de-DE"/>
        </w:rPr>
        <w:t>来源：</w:t>
      </w:r>
      <w:r>
        <w:rPr>
          <w:rFonts w:hint="eastAsia" w:ascii="宋体" w:hAnsi="宋体" w:cs="宋体"/>
          <w:szCs w:val="21"/>
          <w:lang w:eastAsia="zh-CN"/>
        </w:rPr>
        <w:t>GB/T 29246—2023</w:t>
      </w:r>
      <w:r>
        <w:rPr>
          <w:rFonts w:hint="eastAsia" w:ascii="宋体" w:cs="宋体"/>
          <w:szCs w:val="21"/>
          <w:lang w:val="de-DE"/>
        </w:rPr>
        <w:t>，</w:t>
      </w:r>
      <w:r>
        <w:rPr>
          <w:rFonts w:ascii="宋体" w:cs="宋体"/>
          <w:szCs w:val="21"/>
          <w:lang w:val="de-DE"/>
        </w:rPr>
        <w:t>3.</w:t>
      </w:r>
      <w:r>
        <w:rPr>
          <w:rFonts w:hint="eastAsia" w:ascii="宋体" w:cs="宋体"/>
          <w:szCs w:val="21"/>
        </w:rPr>
        <w:t>31</w:t>
      </w:r>
      <w:r>
        <w:rPr>
          <w:rFonts w:ascii="宋体" w:hAnsi="宋体" w:cs="宋体"/>
          <w:szCs w:val="21"/>
          <w:lang w:val="de-DE"/>
        </w:rPr>
        <w:t>]</w:t>
      </w:r>
    </w:p>
    <w:p w14:paraId="2D8A3CE1">
      <w:pPr>
        <w:numPr>
          <w:ilvl w:val="0"/>
          <w:numId w:val="20"/>
        </w:numPr>
        <w:spacing w:line="300" w:lineRule="auto"/>
        <w:rPr>
          <w:rFonts w:hAnsi="宋体"/>
          <w:szCs w:val="21"/>
        </w:rPr>
      </w:pPr>
    </w:p>
    <w:p w14:paraId="6F706923">
      <w:pPr>
        <w:pStyle w:val="36"/>
        <w:rPr>
          <w:rFonts w:ascii="黑体" w:hAnsi="黑体" w:eastAsia="黑体"/>
          <w:bCs/>
          <w:szCs w:val="21"/>
          <w:lang w:val="de-DE"/>
        </w:rPr>
      </w:pPr>
      <w:bookmarkStart w:id="73" w:name="_Toc108462636"/>
      <w:bookmarkStart w:id="74" w:name="_Toc107222880"/>
      <w:bookmarkStart w:id="75" w:name="_Toc458111256"/>
      <w:bookmarkStart w:id="76" w:name="_Toc471835282"/>
      <w:bookmarkStart w:id="77" w:name="_Ref107220017"/>
      <w:bookmarkStart w:id="78" w:name="_Toc68209716"/>
      <w:bookmarkStart w:id="79" w:name="_Toc108462264"/>
      <w:bookmarkStart w:id="80" w:name="_Ref90914728"/>
      <w:r>
        <w:rPr>
          <w:rFonts w:hint="eastAsia" w:ascii="黑体" w:hAnsi="黑体" w:eastAsia="黑体"/>
          <w:bCs/>
          <w:szCs w:val="21"/>
          <w:lang w:val="de-DE"/>
        </w:rPr>
        <w:t>信息系统　information system</w:t>
      </w:r>
      <w:bookmarkEnd w:id="73"/>
      <w:bookmarkEnd w:id="74"/>
      <w:bookmarkEnd w:id="75"/>
      <w:bookmarkEnd w:id="76"/>
      <w:bookmarkEnd w:id="77"/>
      <w:bookmarkEnd w:id="78"/>
      <w:bookmarkEnd w:id="79"/>
      <w:bookmarkEnd w:id="80"/>
    </w:p>
    <w:p w14:paraId="6DB32F8B">
      <w:pPr>
        <w:ind w:firstLine="420" w:firstLineChars="200"/>
        <w:rPr>
          <w:rFonts w:ascii="宋体" w:cs="宋体"/>
          <w:szCs w:val="21"/>
          <w:lang w:val="de-DE"/>
        </w:rPr>
      </w:pPr>
      <w:r>
        <w:rPr>
          <w:rFonts w:hint="eastAsia" w:ascii="宋体" w:cs="宋体"/>
          <w:szCs w:val="21"/>
          <w:lang w:val="de-DE"/>
        </w:rPr>
        <w:t>应用、服务、信息技术资产或其他信息处理组件的组合。</w:t>
      </w:r>
    </w:p>
    <w:p w14:paraId="1088009E">
      <w:pPr>
        <w:ind w:firstLine="420" w:firstLineChars="200"/>
        <w:rPr>
          <w:rFonts w:ascii="宋体" w:hAnsi="宋体" w:cs="宋体"/>
          <w:szCs w:val="21"/>
          <w:lang w:val="de-DE"/>
        </w:rPr>
      </w:pPr>
      <w:r>
        <w:rPr>
          <w:rFonts w:ascii="宋体" w:hAnsi="宋体" w:cs="宋体"/>
          <w:szCs w:val="21"/>
          <w:lang w:val="de-DE"/>
        </w:rPr>
        <w:t>[</w:t>
      </w:r>
      <w:r>
        <w:rPr>
          <w:rFonts w:hint="eastAsia" w:ascii="宋体" w:hAnsi="宋体" w:cs="宋体"/>
          <w:szCs w:val="21"/>
          <w:lang w:val="de-DE"/>
        </w:rPr>
        <w:t>来源：</w:t>
      </w:r>
      <w:r>
        <w:rPr>
          <w:rFonts w:hint="eastAsia" w:ascii="宋体" w:hAnsi="宋体" w:cs="宋体"/>
          <w:szCs w:val="21"/>
          <w:lang w:eastAsia="zh-CN"/>
        </w:rPr>
        <w:t>GB/T 29246—2023</w:t>
      </w:r>
      <w:r>
        <w:rPr>
          <w:rFonts w:hint="eastAsia" w:ascii="宋体" w:cs="宋体"/>
          <w:szCs w:val="21"/>
          <w:lang w:val="de-DE"/>
        </w:rPr>
        <w:t>，</w:t>
      </w:r>
      <w:r>
        <w:rPr>
          <w:rFonts w:ascii="宋体" w:cs="宋体"/>
          <w:szCs w:val="21"/>
          <w:lang w:val="de-DE"/>
        </w:rPr>
        <w:t>3.</w:t>
      </w:r>
      <w:r>
        <w:rPr>
          <w:rFonts w:hint="eastAsia" w:ascii="宋体" w:cs="宋体"/>
          <w:szCs w:val="21"/>
        </w:rPr>
        <w:t>35</w:t>
      </w:r>
      <w:r>
        <w:rPr>
          <w:rFonts w:ascii="宋体" w:hAnsi="宋体" w:cs="宋体"/>
          <w:szCs w:val="21"/>
          <w:lang w:val="de-DE"/>
        </w:rPr>
        <w:t>]</w:t>
      </w:r>
    </w:p>
    <w:p w14:paraId="31BC36F7">
      <w:pPr>
        <w:numPr>
          <w:ilvl w:val="0"/>
          <w:numId w:val="20"/>
        </w:numPr>
        <w:spacing w:line="300" w:lineRule="auto"/>
        <w:rPr>
          <w:rFonts w:hAnsi="宋体"/>
          <w:szCs w:val="21"/>
        </w:rPr>
      </w:pPr>
    </w:p>
    <w:p w14:paraId="09D42563">
      <w:pPr>
        <w:pStyle w:val="36"/>
        <w:rPr>
          <w:rFonts w:ascii="黑体" w:hAnsi="黑体" w:eastAsia="黑体"/>
          <w:bCs/>
          <w:szCs w:val="21"/>
          <w:lang w:val="de-DE"/>
        </w:rPr>
      </w:pPr>
      <w:bookmarkStart w:id="81" w:name="_Toc108462267"/>
      <w:bookmarkStart w:id="82" w:name="_Toc107222883"/>
      <w:bookmarkStart w:id="83" w:name="_Toc108462639"/>
      <w:bookmarkStart w:id="84" w:name="_Ref90915956"/>
      <w:bookmarkStart w:id="85" w:name="_Toc68209719"/>
      <w:bookmarkStart w:id="86" w:name="_Toc458111259"/>
      <w:bookmarkStart w:id="87" w:name="_Toc471835285"/>
      <w:bookmarkStart w:id="88" w:name="_Ref107220239"/>
      <w:r>
        <w:rPr>
          <w:rFonts w:hint="eastAsia" w:ascii="黑体" w:hAnsi="黑体" w:eastAsia="黑体"/>
          <w:bCs/>
          <w:szCs w:val="21"/>
          <w:lang w:val="de-DE"/>
        </w:rPr>
        <w:t>内部</w:t>
      </w:r>
      <w:r>
        <w:rPr>
          <w:rFonts w:hint="eastAsia" w:ascii="黑体" w:hAnsi="黑体" w:eastAsia="黑体"/>
          <w:bCs/>
          <w:szCs w:val="21"/>
        </w:rPr>
        <w:t>环境</w:t>
      </w:r>
      <w:r>
        <w:rPr>
          <w:rFonts w:hint="eastAsia" w:ascii="黑体" w:hAnsi="黑体" w:eastAsia="黑体"/>
          <w:bCs/>
          <w:szCs w:val="21"/>
          <w:lang w:val="de-DE"/>
        </w:rPr>
        <w:t>　internal context</w:t>
      </w:r>
      <w:bookmarkEnd w:id="81"/>
      <w:bookmarkEnd w:id="82"/>
      <w:bookmarkEnd w:id="83"/>
      <w:bookmarkEnd w:id="84"/>
      <w:bookmarkEnd w:id="85"/>
      <w:bookmarkEnd w:id="86"/>
      <w:bookmarkEnd w:id="87"/>
      <w:bookmarkEnd w:id="88"/>
    </w:p>
    <w:p w14:paraId="194CE71B">
      <w:pPr>
        <w:ind w:firstLine="420" w:firstLineChars="200"/>
        <w:rPr>
          <w:rFonts w:ascii="宋体" w:cs="宋体"/>
          <w:szCs w:val="21"/>
          <w:lang w:val="de-DE"/>
        </w:rPr>
      </w:pPr>
      <w:r>
        <w:rPr>
          <w:rFonts w:hint="eastAsia" w:ascii="宋体" w:cs="宋体"/>
          <w:szCs w:val="21"/>
          <w:lang w:val="de-DE"/>
        </w:rPr>
        <w:t>组织（</w:t>
      </w:r>
      <w:r>
        <w:rPr>
          <w:rFonts w:ascii="宋体" w:cs="宋体"/>
          <w:szCs w:val="21"/>
          <w:lang w:val="de-DE"/>
        </w:rPr>
        <w:fldChar w:fldCharType="begin"/>
      </w:r>
      <w:r>
        <w:rPr>
          <w:rFonts w:ascii="宋体" w:cs="宋体"/>
          <w:szCs w:val="21"/>
          <w:lang w:val="de-DE"/>
        </w:rPr>
        <w:instrText xml:space="preserve"> </w:instrText>
      </w:r>
      <w:r>
        <w:rPr>
          <w:rFonts w:hint="eastAsia" w:ascii="宋体" w:cs="宋体"/>
          <w:szCs w:val="21"/>
          <w:lang w:val="de-DE"/>
        </w:rPr>
        <w:instrText xml:space="preserve">REF _Ref90914695 \r \h</w:instrText>
      </w:r>
      <w:r>
        <w:rPr>
          <w:rFonts w:ascii="宋体" w:cs="宋体"/>
          <w:szCs w:val="21"/>
          <w:lang w:val="de-DE"/>
        </w:rPr>
        <w:instrText xml:space="preserve"> </w:instrText>
      </w:r>
      <w:r>
        <w:rPr>
          <w:rFonts w:ascii="宋体" w:cs="宋体"/>
          <w:szCs w:val="21"/>
          <w:lang w:val="de-DE"/>
        </w:rPr>
        <w:fldChar w:fldCharType="separate"/>
      </w:r>
      <w:r>
        <w:rPr>
          <w:rFonts w:ascii="宋体" w:cs="宋体"/>
          <w:szCs w:val="21"/>
          <w:lang w:val="de-DE"/>
        </w:rPr>
        <w:t>3.</w:t>
      </w:r>
      <w:r>
        <w:rPr>
          <w:rFonts w:hint="eastAsia" w:ascii="宋体" w:cs="宋体"/>
          <w:szCs w:val="21"/>
        </w:rPr>
        <w:t>9</w:t>
      </w:r>
      <w:r>
        <w:rPr>
          <w:rFonts w:ascii="宋体" w:cs="宋体"/>
          <w:szCs w:val="21"/>
          <w:lang w:val="de-DE"/>
        </w:rPr>
        <w:fldChar w:fldCharType="end"/>
      </w:r>
      <w:r>
        <w:rPr>
          <w:rFonts w:hint="eastAsia" w:ascii="宋体" w:cs="宋体"/>
          <w:szCs w:val="21"/>
          <w:lang w:val="de-DE"/>
        </w:rPr>
        <w:t>）寻求实现其目标</w:t>
      </w:r>
      <w:r>
        <w:rPr>
          <w:rFonts w:hint="eastAsia" w:ascii="宋体" w:cs="宋体"/>
          <w:szCs w:val="21"/>
          <w:lang w:val="en-US" w:eastAsia="zh-CN"/>
        </w:rPr>
        <w:t>时所处</w:t>
      </w:r>
      <w:r>
        <w:rPr>
          <w:rFonts w:hint="eastAsia" w:ascii="宋体" w:cs="宋体"/>
          <w:szCs w:val="21"/>
          <w:lang w:val="de-DE"/>
        </w:rPr>
        <w:t>的内部</w:t>
      </w:r>
      <w:r>
        <w:rPr>
          <w:rFonts w:hint="eastAsia" w:ascii="宋体" w:cs="宋体"/>
          <w:szCs w:val="21"/>
        </w:rPr>
        <w:t>状况</w:t>
      </w:r>
      <w:r>
        <w:rPr>
          <w:rFonts w:hint="eastAsia" w:ascii="宋体" w:cs="宋体"/>
          <w:szCs w:val="21"/>
          <w:lang w:val="de-DE"/>
        </w:rPr>
        <w:t>。</w:t>
      </w:r>
    </w:p>
    <w:p w14:paraId="6F9B4458">
      <w:pPr>
        <w:ind w:left="780" w:leftChars="200" w:hanging="360" w:hangingChars="200"/>
        <w:rPr>
          <w:rFonts w:ascii="宋体" w:hAnsi="宋体" w:cs="宋体"/>
          <w:sz w:val="18"/>
          <w:szCs w:val="18"/>
          <w:lang w:val="de-DE"/>
        </w:rPr>
      </w:pPr>
      <w:r>
        <w:rPr>
          <w:rFonts w:hint="eastAsia" w:ascii="黑体" w:hAnsi="黑体" w:eastAsia="黑体" w:cs="宋体"/>
          <w:sz w:val="18"/>
          <w:szCs w:val="18"/>
          <w:lang w:val="de-DE"/>
        </w:rPr>
        <w:t>注：</w:t>
      </w:r>
      <w:r>
        <w:rPr>
          <w:rFonts w:hint="eastAsia" w:ascii="宋体" w:hAnsi="宋体" w:cs="宋体"/>
          <w:sz w:val="18"/>
          <w:szCs w:val="18"/>
          <w:lang w:val="de-DE"/>
        </w:rPr>
        <w:t>内部</w:t>
      </w:r>
      <w:r>
        <w:rPr>
          <w:rFonts w:hint="eastAsia" w:ascii="宋体" w:hAnsi="宋体" w:cs="宋体"/>
          <w:sz w:val="18"/>
          <w:szCs w:val="18"/>
        </w:rPr>
        <w:t>环境</w:t>
      </w:r>
      <w:r>
        <w:rPr>
          <w:rFonts w:hint="eastAsia" w:ascii="宋体" w:hAnsi="宋体" w:cs="宋体"/>
          <w:sz w:val="18"/>
          <w:szCs w:val="18"/>
          <w:lang w:val="de-DE"/>
        </w:rPr>
        <w:t>可能包括如下方面：</w:t>
      </w:r>
    </w:p>
    <w:p w14:paraId="36D7E505">
      <w:pPr>
        <w:pStyle w:val="36"/>
        <w:ind w:left="1200" w:leftChars="40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治理、组织结构、角色和职责；</w:t>
      </w:r>
    </w:p>
    <w:p w14:paraId="2267894E">
      <w:pPr>
        <w:pStyle w:val="36"/>
        <w:ind w:left="1200" w:leftChars="40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策略、目标及其实现战略；</w:t>
      </w:r>
    </w:p>
    <w:p w14:paraId="3B9E0E71">
      <w:pPr>
        <w:pStyle w:val="36"/>
        <w:ind w:left="1200" w:leftChars="40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在资源和知识（如资本、时间、人员、过程、系统和技术）方面的能力；</w:t>
      </w:r>
    </w:p>
    <w:p w14:paraId="767E42D0">
      <w:pPr>
        <w:pStyle w:val="36"/>
        <w:ind w:left="1200" w:leftChars="40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信息系统（</w:t>
      </w:r>
      <w:r>
        <w:rPr>
          <w:rFonts w:hAnsi="宋体"/>
          <w:sz w:val="18"/>
          <w:szCs w:val="18"/>
          <w:lang w:val="de-DE"/>
        </w:rPr>
        <w:fldChar w:fldCharType="begin"/>
      </w:r>
      <w:r>
        <w:rPr>
          <w:rFonts w:hAnsi="宋体"/>
          <w:sz w:val="18"/>
          <w:szCs w:val="18"/>
          <w:lang w:val="de-DE"/>
        </w:rPr>
        <w:instrText xml:space="preserve"> </w:instrText>
      </w:r>
      <w:r>
        <w:rPr>
          <w:rFonts w:hint="eastAsia" w:hAnsi="宋体"/>
          <w:sz w:val="18"/>
          <w:szCs w:val="18"/>
          <w:lang w:val="de-DE"/>
        </w:rPr>
        <w:instrText xml:space="preserve">REF _Ref90914728 \r \h</w:instrText>
      </w:r>
      <w:r>
        <w:rPr>
          <w:rFonts w:hAnsi="宋体"/>
          <w:sz w:val="18"/>
          <w:szCs w:val="18"/>
          <w:lang w:val="de-DE"/>
        </w:rPr>
        <w:instrText xml:space="preserve"> </w:instrText>
      </w:r>
      <w:r>
        <w:rPr>
          <w:rFonts w:hAnsi="宋体"/>
          <w:sz w:val="18"/>
          <w:szCs w:val="18"/>
          <w:lang w:val="de-DE"/>
        </w:rPr>
        <w:fldChar w:fldCharType="separate"/>
      </w:r>
      <w:r>
        <w:rPr>
          <w:rFonts w:hAnsi="宋体"/>
          <w:sz w:val="18"/>
          <w:szCs w:val="18"/>
          <w:lang w:val="de-DE"/>
        </w:rPr>
        <w:t>3.</w:t>
      </w:r>
      <w:r>
        <w:rPr>
          <w:rFonts w:hint="eastAsia" w:hAnsi="宋体"/>
          <w:sz w:val="18"/>
          <w:szCs w:val="18"/>
        </w:rPr>
        <w:t>6</w:t>
      </w:r>
      <w:r>
        <w:rPr>
          <w:rFonts w:hAnsi="宋体"/>
          <w:sz w:val="18"/>
          <w:szCs w:val="18"/>
          <w:lang w:val="de-DE"/>
        </w:rPr>
        <w:fldChar w:fldCharType="end"/>
      </w:r>
      <w:r>
        <w:rPr>
          <w:rFonts w:hint="eastAsia" w:hAnsi="宋体"/>
          <w:sz w:val="18"/>
          <w:szCs w:val="18"/>
          <w:lang w:val="de-DE"/>
        </w:rPr>
        <w:t>）、信息流和决策过程（正式的和非正式的）；</w:t>
      </w:r>
    </w:p>
    <w:p w14:paraId="7960A553">
      <w:pPr>
        <w:pStyle w:val="36"/>
        <w:ind w:left="1200" w:leftChars="40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与内部利益相关方的关系及其认知和价值观；</w:t>
      </w:r>
    </w:p>
    <w:p w14:paraId="6E1CE96B">
      <w:pPr>
        <w:pStyle w:val="36"/>
        <w:ind w:left="1200" w:leftChars="40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组织（</w:t>
      </w:r>
      <w:r>
        <w:rPr>
          <w:rFonts w:hAnsi="宋体"/>
          <w:sz w:val="18"/>
          <w:szCs w:val="18"/>
          <w:lang w:val="de-DE"/>
        </w:rPr>
        <w:fldChar w:fldCharType="begin"/>
      </w:r>
      <w:r>
        <w:rPr>
          <w:rFonts w:hAnsi="宋体"/>
          <w:sz w:val="18"/>
          <w:szCs w:val="18"/>
          <w:lang w:val="de-DE"/>
        </w:rPr>
        <w:instrText xml:space="preserve"> </w:instrText>
      </w:r>
      <w:r>
        <w:rPr>
          <w:rFonts w:hint="eastAsia" w:hAnsi="宋体"/>
          <w:sz w:val="18"/>
          <w:szCs w:val="18"/>
          <w:lang w:val="de-DE"/>
        </w:rPr>
        <w:instrText xml:space="preserve">REF _Ref90914758 \r \h</w:instrText>
      </w:r>
      <w:r>
        <w:rPr>
          <w:rFonts w:hAnsi="宋体"/>
          <w:sz w:val="18"/>
          <w:szCs w:val="18"/>
          <w:lang w:val="de-DE"/>
        </w:rPr>
        <w:instrText xml:space="preserve">  \* MERGEFORMAT </w:instrText>
      </w:r>
      <w:r>
        <w:rPr>
          <w:rFonts w:hAnsi="宋体"/>
          <w:sz w:val="18"/>
          <w:szCs w:val="18"/>
          <w:lang w:val="de-DE"/>
        </w:rPr>
        <w:fldChar w:fldCharType="separate"/>
      </w:r>
      <w:r>
        <w:rPr>
          <w:rFonts w:hAnsi="宋体"/>
          <w:sz w:val="18"/>
          <w:szCs w:val="18"/>
          <w:lang w:val="de-DE"/>
        </w:rPr>
        <w:t>3.</w:t>
      </w:r>
      <w:r>
        <w:rPr>
          <w:rFonts w:hint="eastAsia" w:hAnsi="宋体"/>
          <w:sz w:val="18"/>
          <w:szCs w:val="18"/>
        </w:rPr>
        <w:t>9</w:t>
      </w:r>
      <w:r>
        <w:rPr>
          <w:rFonts w:hAnsi="宋体"/>
          <w:sz w:val="18"/>
          <w:szCs w:val="18"/>
          <w:lang w:val="de-DE"/>
        </w:rPr>
        <w:fldChar w:fldCharType="end"/>
      </w:r>
      <w:r>
        <w:rPr>
          <w:rFonts w:hint="eastAsia" w:hAnsi="宋体"/>
          <w:sz w:val="18"/>
          <w:szCs w:val="18"/>
          <w:lang w:val="de-DE"/>
        </w:rPr>
        <w:t>）的文化；</w:t>
      </w:r>
    </w:p>
    <w:p w14:paraId="0614C8E7">
      <w:pPr>
        <w:pStyle w:val="36"/>
        <w:ind w:left="1200" w:leftChars="40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组织</w:t>
      </w:r>
      <w:r>
        <w:rPr>
          <w:rFonts w:hint="eastAsia" w:hAnsi="宋体"/>
          <w:sz w:val="18"/>
          <w:szCs w:val="18"/>
          <w:lang w:val="de-DE" w:eastAsia="zh-CN"/>
        </w:rPr>
        <w:t>（</w:t>
      </w:r>
      <w:r>
        <w:rPr>
          <w:rFonts w:hint="eastAsia" w:hAnsi="宋体"/>
          <w:sz w:val="18"/>
          <w:szCs w:val="18"/>
          <w:lang w:val="en-US" w:eastAsia="zh-CN"/>
        </w:rPr>
        <w:t>3.9</w:t>
      </w:r>
      <w:r>
        <w:rPr>
          <w:rFonts w:hint="eastAsia" w:hAnsi="宋体"/>
          <w:sz w:val="18"/>
          <w:szCs w:val="18"/>
          <w:lang w:val="de-DE" w:eastAsia="zh-CN"/>
        </w:rPr>
        <w:t>）</w:t>
      </w:r>
      <w:r>
        <w:rPr>
          <w:rFonts w:hint="eastAsia" w:hAnsi="宋体"/>
          <w:sz w:val="18"/>
          <w:szCs w:val="18"/>
          <w:lang w:val="de-DE"/>
        </w:rPr>
        <w:t>采用的标准、指南和模型；</w:t>
      </w:r>
    </w:p>
    <w:p w14:paraId="55B6CF88">
      <w:pPr>
        <w:pStyle w:val="36"/>
        <w:ind w:left="1200" w:leftChars="40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合同关系的形式和范围。</w:t>
      </w:r>
    </w:p>
    <w:p w14:paraId="710A4E16">
      <w:pPr>
        <w:ind w:firstLine="420" w:firstLineChars="200"/>
        <w:rPr>
          <w:rFonts w:ascii="宋体" w:hAnsi="宋体" w:cs="宋体"/>
          <w:szCs w:val="21"/>
          <w:lang w:val="de-DE"/>
        </w:rPr>
      </w:pPr>
      <w:r>
        <w:rPr>
          <w:rFonts w:ascii="宋体" w:hAnsi="宋体" w:cs="宋体"/>
          <w:szCs w:val="21"/>
          <w:lang w:val="de-DE"/>
        </w:rPr>
        <w:t>[</w:t>
      </w:r>
      <w:r>
        <w:rPr>
          <w:rFonts w:hint="eastAsia" w:ascii="宋体" w:hAnsi="宋体" w:cs="宋体"/>
          <w:szCs w:val="21"/>
          <w:lang w:val="de-DE"/>
        </w:rPr>
        <w:t>来源：</w:t>
      </w:r>
      <w:r>
        <w:rPr>
          <w:rFonts w:hint="eastAsia" w:ascii="宋体" w:hAnsi="宋体" w:cs="宋体"/>
          <w:szCs w:val="21"/>
          <w:lang w:eastAsia="zh-CN"/>
        </w:rPr>
        <w:t>GB/T 29246—2023</w:t>
      </w:r>
      <w:r>
        <w:rPr>
          <w:rFonts w:hint="eastAsia" w:ascii="宋体" w:cs="宋体"/>
          <w:szCs w:val="21"/>
          <w:lang w:val="de-DE"/>
        </w:rPr>
        <w:t>，</w:t>
      </w:r>
      <w:r>
        <w:rPr>
          <w:rFonts w:ascii="宋体" w:cs="宋体"/>
          <w:szCs w:val="21"/>
          <w:lang w:val="de-DE"/>
        </w:rPr>
        <w:t>3.</w:t>
      </w:r>
      <w:r>
        <w:rPr>
          <w:rFonts w:hint="eastAsia" w:ascii="宋体" w:cs="宋体"/>
          <w:szCs w:val="21"/>
        </w:rPr>
        <w:t>38</w:t>
      </w:r>
      <w:r>
        <w:rPr>
          <w:rFonts w:hint="eastAsia" w:ascii="宋体" w:cs="宋体"/>
          <w:szCs w:val="21"/>
          <w:lang w:eastAsia="zh-CN"/>
        </w:rPr>
        <w:t>，</w:t>
      </w:r>
      <w:r>
        <w:rPr>
          <w:rFonts w:hint="eastAsia" w:ascii="宋体" w:cs="宋体"/>
          <w:szCs w:val="21"/>
          <w:lang w:val="en-US" w:eastAsia="zh-CN"/>
        </w:rPr>
        <w:t>有修改</w:t>
      </w:r>
      <w:r>
        <w:rPr>
          <w:rFonts w:ascii="宋体" w:hAnsi="宋体" w:cs="宋体"/>
          <w:szCs w:val="21"/>
          <w:lang w:val="de-DE"/>
        </w:rPr>
        <w:t>]</w:t>
      </w:r>
    </w:p>
    <w:p w14:paraId="256EB6A3">
      <w:pPr>
        <w:numPr>
          <w:ilvl w:val="0"/>
          <w:numId w:val="20"/>
        </w:numPr>
        <w:spacing w:line="300" w:lineRule="auto"/>
        <w:rPr>
          <w:rFonts w:hAnsi="宋体"/>
          <w:szCs w:val="21"/>
        </w:rPr>
      </w:pPr>
    </w:p>
    <w:p w14:paraId="5317CE77">
      <w:pPr>
        <w:pStyle w:val="36"/>
        <w:rPr>
          <w:rFonts w:ascii="黑体" w:hAnsi="黑体" w:eastAsia="黑体"/>
          <w:bCs/>
          <w:szCs w:val="21"/>
        </w:rPr>
      </w:pPr>
      <w:r>
        <w:rPr>
          <w:rFonts w:hint="eastAsia" w:ascii="黑体" w:hAnsi="黑体" w:eastAsia="黑体"/>
          <w:bCs/>
          <w:szCs w:val="21"/>
        </w:rPr>
        <w:t>管理体系  management</w:t>
      </w:r>
      <w:r>
        <w:rPr>
          <w:rFonts w:hint="eastAsia" w:ascii="黑体" w:hAnsi="黑体" w:eastAsia="黑体"/>
          <w:bCs/>
          <w:szCs w:val="21"/>
          <w:lang w:val="en-US" w:eastAsia="zh-CN"/>
        </w:rPr>
        <w:t xml:space="preserve"> </w:t>
      </w:r>
      <w:r>
        <w:rPr>
          <w:rFonts w:hint="eastAsia" w:ascii="黑体" w:hAnsi="黑体" w:eastAsia="黑体"/>
          <w:bCs/>
          <w:szCs w:val="21"/>
        </w:rPr>
        <w:t>system</w:t>
      </w:r>
    </w:p>
    <w:p w14:paraId="797BD827">
      <w:pPr>
        <w:ind w:firstLine="420" w:firstLineChars="200"/>
        <w:rPr>
          <w:rFonts w:hint="eastAsia" w:ascii="宋体" w:eastAsia="宋体" w:cs="宋体"/>
          <w:szCs w:val="21"/>
          <w:lang w:val="de-DE" w:eastAsia="zh-CN"/>
        </w:rPr>
      </w:pPr>
      <w:r>
        <w:rPr>
          <w:rFonts w:hint="eastAsia" w:ascii="宋体" w:cs="宋体"/>
          <w:szCs w:val="21"/>
          <w:lang w:val="de-DE"/>
        </w:rPr>
        <w:t>组织(3.9)建立方针和目标以及实现这些目标的过程的相互关联或相互作用的一组要素</w:t>
      </w:r>
      <w:r>
        <w:rPr>
          <w:rFonts w:hint="eastAsia" w:ascii="宋体" w:cs="宋体"/>
          <w:szCs w:val="21"/>
          <w:lang w:val="de-DE" w:eastAsia="zh-CN"/>
        </w:rPr>
        <w:t>。</w:t>
      </w:r>
    </w:p>
    <w:p w14:paraId="3E3ACB35">
      <w:pPr>
        <w:ind w:left="915" w:leftChars="200" w:hanging="495" w:hangingChars="275"/>
        <w:rPr>
          <w:rFonts w:ascii="黑体" w:hAnsi="黑体" w:eastAsia="黑体" w:cs="宋体"/>
          <w:sz w:val="18"/>
          <w:szCs w:val="18"/>
          <w:lang w:val="de-DE"/>
        </w:rPr>
      </w:pPr>
      <w:r>
        <w:rPr>
          <w:rFonts w:hint="eastAsia" w:ascii="黑体" w:hAnsi="黑体" w:eastAsia="黑体" w:cs="宋体"/>
          <w:sz w:val="18"/>
          <w:szCs w:val="18"/>
          <w:lang w:val="de-DE"/>
        </w:rPr>
        <w:t>注1：</w:t>
      </w:r>
      <w:r>
        <w:rPr>
          <w:rFonts w:hint="eastAsia" w:ascii="宋体" w:hAnsi="宋体" w:cs="宋体"/>
          <w:sz w:val="18"/>
          <w:szCs w:val="18"/>
          <w:lang w:val="de-DE"/>
        </w:rPr>
        <w:t>一个管理体系可以针对单一的领域或几个领域，如质量管理、财务管理或环境管理。</w:t>
      </w:r>
    </w:p>
    <w:p w14:paraId="5CB2FD47">
      <w:pPr>
        <w:ind w:left="915" w:leftChars="200" w:hanging="495" w:hangingChars="275"/>
        <w:rPr>
          <w:rFonts w:ascii="黑体" w:hAnsi="黑体" w:eastAsia="黑体" w:cs="宋体"/>
          <w:sz w:val="18"/>
          <w:szCs w:val="18"/>
          <w:lang w:val="de-DE"/>
        </w:rPr>
      </w:pPr>
      <w:r>
        <w:rPr>
          <w:rFonts w:hint="eastAsia" w:ascii="黑体" w:hAnsi="黑体" w:eastAsia="黑体" w:cs="宋体"/>
          <w:sz w:val="18"/>
          <w:szCs w:val="18"/>
          <w:lang w:val="de-DE"/>
        </w:rPr>
        <w:t>注2：</w:t>
      </w:r>
      <w:r>
        <w:rPr>
          <w:rFonts w:hint="eastAsia" w:ascii="宋体" w:hAnsi="宋体" w:cs="宋体"/>
          <w:sz w:val="18"/>
          <w:szCs w:val="18"/>
          <w:lang w:val="de-DE"/>
        </w:rPr>
        <w:t>管理体系要素规定了组织</w:t>
      </w:r>
      <w:r>
        <w:rPr>
          <w:rFonts w:hint="eastAsia" w:ascii="宋体" w:hAnsi="宋体" w:cs="宋体"/>
          <w:sz w:val="18"/>
          <w:szCs w:val="18"/>
          <w:lang w:val="de-DE" w:eastAsia="zh-CN"/>
        </w:rPr>
        <w:t>（</w:t>
      </w:r>
      <w:r>
        <w:rPr>
          <w:rFonts w:hint="eastAsia" w:ascii="宋体" w:hAnsi="宋体" w:cs="宋体"/>
          <w:sz w:val="18"/>
          <w:szCs w:val="18"/>
          <w:lang w:val="en-US" w:eastAsia="zh-CN"/>
        </w:rPr>
        <w:t>3.9</w:t>
      </w:r>
      <w:r>
        <w:rPr>
          <w:rFonts w:hint="eastAsia" w:ascii="宋体" w:hAnsi="宋体" w:cs="宋体"/>
          <w:sz w:val="18"/>
          <w:szCs w:val="18"/>
          <w:lang w:val="de-DE" w:eastAsia="zh-CN"/>
        </w:rPr>
        <w:t>）</w:t>
      </w:r>
      <w:r>
        <w:rPr>
          <w:rFonts w:hint="eastAsia" w:ascii="宋体" w:hAnsi="宋体" w:cs="宋体"/>
          <w:sz w:val="18"/>
          <w:szCs w:val="18"/>
          <w:lang w:val="de-DE"/>
        </w:rPr>
        <w:t>的结构、岗位和职责、策划、运行、方针、惯例、规则、理念、目标，以及实现这些目标的过程。</w:t>
      </w:r>
    </w:p>
    <w:p w14:paraId="3741CE51">
      <w:pPr>
        <w:ind w:left="915" w:leftChars="200" w:hanging="495" w:hangingChars="275"/>
        <w:rPr>
          <w:rFonts w:ascii="黑体" w:hAnsi="黑体" w:eastAsia="黑体" w:cs="宋体"/>
          <w:sz w:val="18"/>
          <w:szCs w:val="18"/>
          <w:lang w:val="de-DE"/>
        </w:rPr>
      </w:pPr>
      <w:r>
        <w:rPr>
          <w:rFonts w:hint="eastAsia" w:ascii="黑体" w:hAnsi="黑体" w:eastAsia="黑体" w:cs="宋体"/>
          <w:sz w:val="18"/>
          <w:szCs w:val="18"/>
          <w:lang w:val="de-DE"/>
        </w:rPr>
        <w:t>注3：</w:t>
      </w:r>
      <w:r>
        <w:rPr>
          <w:rFonts w:hint="eastAsia" w:ascii="宋体" w:hAnsi="宋体" w:cs="宋体"/>
          <w:sz w:val="18"/>
          <w:szCs w:val="18"/>
          <w:lang w:val="de-DE"/>
        </w:rPr>
        <w:t>管理体系的范围可能包括整个组织（</w:t>
      </w:r>
      <w:r>
        <w:rPr>
          <w:rFonts w:hint="eastAsia" w:ascii="宋体" w:hAnsi="宋体" w:cs="宋体"/>
          <w:sz w:val="18"/>
          <w:szCs w:val="18"/>
        </w:rPr>
        <w:t>3.9</w:t>
      </w:r>
      <w:r>
        <w:rPr>
          <w:rFonts w:hint="eastAsia" w:ascii="宋体" w:hAnsi="宋体" w:cs="宋体"/>
          <w:sz w:val="18"/>
          <w:szCs w:val="18"/>
          <w:lang w:val="de-DE"/>
        </w:rPr>
        <w:t>），组织（</w:t>
      </w:r>
      <w:r>
        <w:rPr>
          <w:rFonts w:hint="eastAsia" w:ascii="宋体" w:hAnsi="宋体" w:cs="宋体"/>
          <w:sz w:val="18"/>
          <w:szCs w:val="18"/>
        </w:rPr>
        <w:t>3.9</w:t>
      </w:r>
      <w:r>
        <w:rPr>
          <w:rFonts w:hint="eastAsia" w:ascii="宋体" w:hAnsi="宋体" w:cs="宋体"/>
          <w:sz w:val="18"/>
          <w:szCs w:val="18"/>
          <w:lang w:val="de-DE"/>
        </w:rPr>
        <w:t>）中可被明确识别的职能或可被明确识别的部门，以及跨组织（</w:t>
      </w:r>
      <w:r>
        <w:rPr>
          <w:rFonts w:hint="eastAsia" w:ascii="宋体" w:hAnsi="宋体" w:cs="宋体"/>
          <w:sz w:val="18"/>
          <w:szCs w:val="18"/>
        </w:rPr>
        <w:t>3.9</w:t>
      </w:r>
      <w:r>
        <w:rPr>
          <w:rFonts w:hint="eastAsia" w:ascii="宋体" w:hAnsi="宋体" w:cs="宋体"/>
          <w:sz w:val="18"/>
          <w:szCs w:val="18"/>
          <w:lang w:val="de-DE"/>
        </w:rPr>
        <w:t>）的单一职能或多个职能。</w:t>
      </w:r>
    </w:p>
    <w:p w14:paraId="498BD069">
      <w:pPr>
        <w:ind w:left="915" w:leftChars="200" w:hanging="495" w:hangingChars="275"/>
        <w:rPr>
          <w:rFonts w:ascii="黑体" w:hAnsi="黑体" w:eastAsia="黑体" w:cs="宋体"/>
          <w:sz w:val="18"/>
          <w:szCs w:val="18"/>
          <w:lang w:val="de-DE"/>
        </w:rPr>
      </w:pPr>
      <w:r>
        <w:rPr>
          <w:rFonts w:hint="eastAsia" w:ascii="黑体" w:hAnsi="黑体" w:eastAsia="黑体" w:cs="宋体"/>
          <w:sz w:val="18"/>
          <w:szCs w:val="18"/>
          <w:lang w:val="de-DE"/>
        </w:rPr>
        <w:t>注4：</w:t>
      </w:r>
      <w:r>
        <w:rPr>
          <w:rFonts w:hint="eastAsia" w:ascii="宋体" w:hAnsi="宋体" w:cs="宋体"/>
          <w:sz w:val="18"/>
          <w:szCs w:val="18"/>
          <w:lang w:val="de-DE"/>
        </w:rPr>
        <w:t>这是ISO/IEC导则 第1部分 ISO补充规定的附件SL中给出的ISO管理体系标准中的通用术语及核心定义之一，最初的定义已经通过修改注1至注3被改写。</w:t>
      </w:r>
    </w:p>
    <w:p w14:paraId="5DA38D15">
      <w:pPr>
        <w:ind w:firstLine="420" w:firstLineChars="200"/>
        <w:rPr>
          <w:rFonts w:ascii="宋体" w:hAnsi="宋体" w:cs="宋体"/>
          <w:szCs w:val="21"/>
          <w:lang w:val="de-DE"/>
        </w:rPr>
      </w:pPr>
      <w:r>
        <w:rPr>
          <w:rFonts w:ascii="宋体" w:hAnsi="宋体" w:cs="宋体"/>
          <w:szCs w:val="21"/>
          <w:lang w:val="de-DE"/>
        </w:rPr>
        <w:t>[</w:t>
      </w:r>
      <w:r>
        <w:rPr>
          <w:rFonts w:hint="eastAsia" w:ascii="宋体" w:hAnsi="宋体" w:cs="宋体"/>
          <w:szCs w:val="21"/>
          <w:lang w:val="de-DE"/>
        </w:rPr>
        <w:t>来源：</w:t>
      </w:r>
      <w:r>
        <w:rPr>
          <w:rFonts w:hint="eastAsia" w:ascii="宋体" w:hAnsi="宋体" w:cs="宋体"/>
          <w:szCs w:val="21"/>
        </w:rPr>
        <w:t>GB/T 19000—2016</w:t>
      </w:r>
      <w:r>
        <w:rPr>
          <w:rFonts w:hint="eastAsia" w:ascii="宋体" w:cs="宋体"/>
          <w:szCs w:val="21"/>
          <w:lang w:val="de-DE"/>
        </w:rPr>
        <w:t>，</w:t>
      </w:r>
      <w:r>
        <w:rPr>
          <w:rFonts w:ascii="宋体" w:cs="宋体"/>
          <w:szCs w:val="21"/>
          <w:lang w:val="de-DE"/>
        </w:rPr>
        <w:t>3.</w:t>
      </w:r>
      <w:r>
        <w:rPr>
          <w:rFonts w:hint="eastAsia" w:ascii="宋体" w:cs="宋体"/>
          <w:szCs w:val="21"/>
        </w:rPr>
        <w:t>5.3</w:t>
      </w:r>
      <w:r>
        <w:rPr>
          <w:rFonts w:ascii="宋体" w:hAnsi="宋体" w:cs="宋体"/>
          <w:szCs w:val="21"/>
          <w:lang w:val="de-DE"/>
        </w:rPr>
        <w:t>]</w:t>
      </w:r>
    </w:p>
    <w:p w14:paraId="4EB64D6C">
      <w:pPr>
        <w:numPr>
          <w:ilvl w:val="0"/>
          <w:numId w:val="20"/>
        </w:numPr>
        <w:spacing w:line="300" w:lineRule="auto"/>
        <w:rPr>
          <w:rFonts w:hAnsi="宋体"/>
          <w:szCs w:val="21"/>
        </w:rPr>
      </w:pPr>
    </w:p>
    <w:p w14:paraId="30210DA2">
      <w:pPr>
        <w:pStyle w:val="36"/>
        <w:rPr>
          <w:rFonts w:ascii="黑体" w:hAnsi="黑体" w:eastAsia="黑体"/>
          <w:bCs/>
          <w:szCs w:val="21"/>
          <w:lang w:val="de-DE"/>
        </w:rPr>
      </w:pPr>
      <w:bookmarkStart w:id="89" w:name="_Ref90916216"/>
      <w:bookmarkStart w:id="90" w:name="_Toc68209731"/>
      <w:bookmarkStart w:id="91" w:name="_Ref90914758"/>
      <w:bookmarkStart w:id="92" w:name="_Ref90914359"/>
      <w:bookmarkStart w:id="93" w:name="_Ref90914845"/>
      <w:bookmarkStart w:id="94" w:name="_Ref90915406"/>
      <w:bookmarkStart w:id="95" w:name="_Ref90915663"/>
      <w:bookmarkStart w:id="96" w:name="_Ref90915072"/>
      <w:bookmarkStart w:id="97" w:name="_Toc471835300"/>
      <w:bookmarkStart w:id="98" w:name="_Ref90915056"/>
      <w:bookmarkStart w:id="99" w:name="_Ref90914672"/>
      <w:bookmarkStart w:id="100" w:name="_Ref90916259"/>
      <w:bookmarkStart w:id="101" w:name="_Ref90915602"/>
      <w:bookmarkStart w:id="102" w:name="_Ref90914679"/>
      <w:bookmarkStart w:id="103" w:name="_Toc108462279"/>
      <w:bookmarkStart w:id="104" w:name="_Ref90916223"/>
      <w:bookmarkStart w:id="105" w:name="_Ref90916229"/>
      <w:bookmarkStart w:id="106" w:name="_Ref90916080"/>
      <w:bookmarkStart w:id="107" w:name="_Ref90915129"/>
      <w:bookmarkStart w:id="108" w:name="_Ref107221015"/>
      <w:bookmarkStart w:id="109" w:name="_Ref90913007"/>
      <w:bookmarkStart w:id="110" w:name="_Ref90914695"/>
      <w:bookmarkStart w:id="111" w:name="_Ref90915143"/>
      <w:bookmarkStart w:id="112" w:name="_Ref90915027"/>
      <w:bookmarkStart w:id="113" w:name="_Ref90914816"/>
      <w:bookmarkStart w:id="114" w:name="_Ref90914458"/>
      <w:bookmarkStart w:id="115" w:name="_Ref90915109"/>
      <w:bookmarkStart w:id="116" w:name="_Toc107222895"/>
      <w:bookmarkStart w:id="117" w:name="_Toc108462651"/>
      <w:bookmarkStart w:id="118" w:name="_Toc458111274"/>
      <w:bookmarkStart w:id="119" w:name="_Ref90914403"/>
      <w:bookmarkStart w:id="120" w:name="_Ref90914426"/>
      <w:bookmarkStart w:id="121" w:name="_Ref90914476"/>
      <w:bookmarkStart w:id="122" w:name="_Ref90914686"/>
      <w:bookmarkStart w:id="123" w:name="_Ref90916209"/>
      <w:bookmarkStart w:id="124" w:name="_Ref90914392"/>
      <w:r>
        <w:rPr>
          <w:rFonts w:hint="eastAsia" w:ascii="黑体" w:hAnsi="黑体" w:eastAsia="黑体"/>
          <w:bCs/>
          <w:szCs w:val="21"/>
          <w:lang w:val="de-DE"/>
        </w:rPr>
        <w:t>组织　organization</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EED0868">
      <w:pPr>
        <w:ind w:firstLine="420" w:firstLineChars="200"/>
        <w:rPr>
          <w:rFonts w:ascii="宋体" w:cs="宋体"/>
          <w:szCs w:val="21"/>
          <w:lang w:val="de-DE"/>
        </w:rPr>
      </w:pPr>
      <w:r>
        <w:rPr>
          <w:rFonts w:hint="eastAsia" w:ascii="宋体" w:cs="宋体"/>
          <w:szCs w:val="21"/>
          <w:lang w:val="de-DE"/>
        </w:rPr>
        <w:t xml:space="preserve">为实现目标,由职责、权限和相互关系构成自身功能的一个人或一组人。 </w:t>
      </w:r>
    </w:p>
    <w:p w14:paraId="7D239CA8">
      <w:pPr>
        <w:ind w:left="780" w:leftChars="200" w:hanging="360" w:hangingChars="200"/>
        <w:rPr>
          <w:rFonts w:ascii="宋体" w:cs="宋体"/>
          <w:sz w:val="18"/>
          <w:szCs w:val="18"/>
          <w:lang w:val="de-DE"/>
        </w:rPr>
      </w:pPr>
      <w:r>
        <w:rPr>
          <w:rFonts w:hint="eastAsia" w:ascii="黑体" w:hAnsi="黑体" w:eastAsia="黑体" w:cs="宋体"/>
          <w:sz w:val="18"/>
          <w:szCs w:val="18"/>
          <w:lang w:val="de-DE"/>
        </w:rPr>
        <w:t>注：</w:t>
      </w:r>
      <w:r>
        <w:rPr>
          <w:rFonts w:hint="eastAsia" w:ascii="宋体" w:hAnsi="宋体" w:cs="宋体"/>
          <w:sz w:val="18"/>
          <w:szCs w:val="18"/>
          <w:lang w:val="de-DE"/>
        </w:rPr>
        <w:t>组织的概念包括但不限于个体经营者、公司、</w:t>
      </w:r>
      <w:r>
        <w:rPr>
          <w:rFonts w:hint="eastAsia" w:ascii="宋体" w:hAnsi="宋体" w:cs="宋体"/>
          <w:sz w:val="18"/>
          <w:szCs w:val="18"/>
          <w:lang w:val="en-US" w:eastAsia="zh-CN"/>
        </w:rPr>
        <w:t>集团公司</w:t>
      </w:r>
      <w:r>
        <w:rPr>
          <w:rFonts w:hint="eastAsia" w:ascii="宋体" w:hAnsi="宋体" w:cs="宋体"/>
          <w:sz w:val="18"/>
          <w:szCs w:val="18"/>
          <w:lang w:val="de-DE"/>
        </w:rPr>
        <w:t>、商行、</w:t>
      </w:r>
      <w:r>
        <w:rPr>
          <w:rFonts w:hint="eastAsia" w:ascii="宋体" w:hAnsi="宋体" w:cs="宋体"/>
          <w:sz w:val="18"/>
          <w:szCs w:val="18"/>
          <w:lang w:val="en-US" w:eastAsia="zh-CN"/>
        </w:rPr>
        <w:t>企事业单位</w:t>
      </w:r>
      <w:r>
        <w:rPr>
          <w:rFonts w:hint="eastAsia" w:ascii="宋体" w:hAnsi="宋体" w:cs="宋体"/>
          <w:sz w:val="18"/>
          <w:szCs w:val="18"/>
          <w:lang w:val="de-DE"/>
        </w:rPr>
        <w:t>、机关、合伙</w:t>
      </w:r>
      <w:r>
        <w:rPr>
          <w:rFonts w:hint="eastAsia" w:ascii="宋体" w:hAnsi="宋体" w:cs="宋体"/>
          <w:sz w:val="18"/>
          <w:szCs w:val="18"/>
          <w:lang w:val="en-US" w:eastAsia="zh-CN"/>
        </w:rPr>
        <w:t>企业</w:t>
      </w:r>
      <w:r>
        <w:rPr>
          <w:rFonts w:hint="eastAsia" w:ascii="宋体" w:hAnsi="宋体" w:cs="宋体"/>
          <w:sz w:val="18"/>
          <w:szCs w:val="18"/>
          <w:lang w:val="de-DE"/>
        </w:rPr>
        <w:t>、慈善机构或院校，或者其部分或其组合，无论是否法人，是公共的还是私营的。</w:t>
      </w:r>
    </w:p>
    <w:p w14:paraId="46BC6F74">
      <w:pPr>
        <w:ind w:firstLine="420" w:firstLineChars="200"/>
        <w:rPr>
          <w:rFonts w:ascii="宋体" w:hAnsi="宋体" w:cs="宋体"/>
          <w:szCs w:val="21"/>
          <w:lang w:val="de-DE"/>
        </w:rPr>
      </w:pPr>
      <w:r>
        <w:rPr>
          <w:rFonts w:ascii="宋体" w:hAnsi="宋体" w:cs="宋体"/>
          <w:szCs w:val="21"/>
          <w:lang w:val="de-DE"/>
        </w:rPr>
        <w:t>[</w:t>
      </w:r>
      <w:r>
        <w:rPr>
          <w:rFonts w:hint="eastAsia" w:ascii="宋体" w:hAnsi="宋体" w:cs="宋体"/>
          <w:szCs w:val="21"/>
          <w:lang w:val="de-DE"/>
        </w:rPr>
        <w:t>来源：</w:t>
      </w:r>
      <w:r>
        <w:rPr>
          <w:rFonts w:hint="eastAsia" w:ascii="宋体" w:hAnsi="宋体" w:cs="宋体"/>
          <w:szCs w:val="21"/>
          <w:lang w:eastAsia="zh-CN"/>
        </w:rPr>
        <w:t>GB/T 29246—2023</w:t>
      </w:r>
      <w:r>
        <w:rPr>
          <w:rFonts w:hint="eastAsia" w:ascii="宋体" w:cs="宋体"/>
          <w:szCs w:val="21"/>
          <w:lang w:val="de-DE"/>
        </w:rPr>
        <w:t>，</w:t>
      </w:r>
      <w:r>
        <w:rPr>
          <w:rFonts w:ascii="宋体" w:cs="宋体"/>
          <w:szCs w:val="21"/>
          <w:lang w:val="de-DE"/>
        </w:rPr>
        <w:t>3.</w:t>
      </w:r>
      <w:r>
        <w:rPr>
          <w:rFonts w:hint="eastAsia" w:ascii="宋体" w:cs="宋体"/>
          <w:szCs w:val="21"/>
        </w:rPr>
        <w:t>50</w:t>
      </w:r>
      <w:r>
        <w:rPr>
          <w:rFonts w:hint="eastAsia" w:ascii="宋体" w:cs="宋体"/>
          <w:szCs w:val="21"/>
          <w:lang w:eastAsia="zh-CN"/>
        </w:rPr>
        <w:t>，</w:t>
      </w:r>
      <w:r>
        <w:rPr>
          <w:rFonts w:hint="eastAsia" w:ascii="宋体" w:cs="宋体"/>
          <w:szCs w:val="21"/>
          <w:lang w:val="en-US" w:eastAsia="zh-CN"/>
        </w:rPr>
        <w:t>有修改</w:t>
      </w:r>
      <w:r>
        <w:rPr>
          <w:rFonts w:ascii="宋体" w:hAnsi="宋体" w:cs="宋体"/>
          <w:szCs w:val="21"/>
          <w:lang w:val="de-DE"/>
        </w:rPr>
        <w:t>]</w:t>
      </w:r>
    </w:p>
    <w:p w14:paraId="16E1D64D">
      <w:pPr>
        <w:numPr>
          <w:ilvl w:val="0"/>
          <w:numId w:val="20"/>
        </w:numPr>
        <w:spacing w:line="300" w:lineRule="auto"/>
        <w:rPr>
          <w:rFonts w:hAnsi="宋体"/>
          <w:szCs w:val="21"/>
        </w:rPr>
      </w:pPr>
    </w:p>
    <w:p w14:paraId="0F228581">
      <w:pPr>
        <w:pStyle w:val="36"/>
        <w:rPr>
          <w:rFonts w:ascii="黑体" w:hAnsi="黑体" w:eastAsia="黑体"/>
          <w:bCs/>
          <w:szCs w:val="21"/>
          <w:lang w:val="de-DE"/>
        </w:rPr>
      </w:pPr>
      <w:bookmarkStart w:id="125" w:name="_Toc108462662"/>
      <w:bookmarkStart w:id="126" w:name="_Toc108462290"/>
      <w:bookmarkStart w:id="127" w:name="_Ref90916198"/>
      <w:bookmarkStart w:id="128" w:name="_Ref90915186"/>
      <w:bookmarkStart w:id="129" w:name="_Ref90916002"/>
      <w:bookmarkStart w:id="130" w:name="_Ref90915766"/>
      <w:bookmarkStart w:id="131" w:name="_Ref90915420"/>
      <w:bookmarkStart w:id="132" w:name="_Ref90915611"/>
      <w:bookmarkStart w:id="133" w:name="_Ref90916160"/>
      <w:bookmarkStart w:id="134" w:name="_Ref90916089"/>
      <w:bookmarkStart w:id="135" w:name="_Toc458111285"/>
      <w:bookmarkStart w:id="136" w:name="_Ref90913292"/>
      <w:bookmarkStart w:id="137" w:name="_Ref90916033"/>
      <w:bookmarkStart w:id="138" w:name="_Ref90915194"/>
      <w:bookmarkStart w:id="139" w:name="_Ref90916102"/>
      <w:bookmarkStart w:id="140" w:name="_Toc471835311"/>
      <w:bookmarkStart w:id="141" w:name="_Ref90916130"/>
      <w:bookmarkStart w:id="142" w:name="_Ref90913273"/>
      <w:bookmarkStart w:id="143" w:name="_Ref90915447"/>
      <w:bookmarkStart w:id="144" w:name="_Ref90916137"/>
      <w:bookmarkStart w:id="145" w:name="_Ref90914801"/>
      <w:bookmarkStart w:id="146" w:name="_Ref90916155"/>
      <w:bookmarkStart w:id="147" w:name="_Ref90915509"/>
      <w:bookmarkStart w:id="148" w:name="_Ref90915639"/>
      <w:bookmarkStart w:id="149" w:name="_Toc107222906"/>
      <w:bookmarkStart w:id="150" w:name="_Ref107221650"/>
      <w:bookmarkStart w:id="151" w:name="_Toc68209742"/>
      <w:r>
        <w:rPr>
          <w:rFonts w:hint="eastAsia" w:ascii="黑体" w:hAnsi="黑体" w:eastAsia="黑体"/>
          <w:bCs/>
          <w:szCs w:val="21"/>
          <w:lang w:val="de-DE"/>
        </w:rPr>
        <w:t>风险　risk</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FA140C1">
      <w:pPr>
        <w:ind w:firstLine="420" w:firstLineChars="200"/>
        <w:rPr>
          <w:rFonts w:ascii="宋体" w:cs="宋体"/>
          <w:szCs w:val="21"/>
          <w:lang w:val="de-DE"/>
        </w:rPr>
      </w:pPr>
      <w:r>
        <w:rPr>
          <w:rFonts w:hint="eastAsia" w:ascii="宋体" w:cs="宋体"/>
          <w:szCs w:val="21"/>
          <w:lang w:val="de-DE"/>
        </w:rPr>
        <w:t>不确定性对目标的影响。</w:t>
      </w:r>
    </w:p>
    <w:p w14:paraId="09B1020E">
      <w:pPr>
        <w:ind w:left="915" w:leftChars="200" w:hanging="495" w:hangingChars="275"/>
        <w:rPr>
          <w:rFonts w:ascii="宋体" w:cs="宋体"/>
          <w:sz w:val="18"/>
          <w:szCs w:val="18"/>
          <w:lang w:val="de-DE"/>
        </w:rPr>
      </w:pPr>
      <w:r>
        <w:rPr>
          <w:rFonts w:hint="eastAsia" w:ascii="黑体" w:hAnsi="黑体" w:eastAsia="黑体" w:cs="宋体"/>
          <w:sz w:val="18"/>
          <w:szCs w:val="18"/>
          <w:lang w:val="de-DE"/>
        </w:rPr>
        <w:t>注1：</w:t>
      </w:r>
      <w:r>
        <w:rPr>
          <w:rFonts w:hint="eastAsia" w:ascii="宋体" w:hAnsi="宋体" w:cs="宋体"/>
          <w:sz w:val="18"/>
          <w:szCs w:val="18"/>
          <w:lang w:val="de-DE"/>
        </w:rPr>
        <w:t>影响是指</w:t>
      </w:r>
      <w:r>
        <w:rPr>
          <w:rFonts w:hint="eastAsia" w:ascii="宋体" w:hAnsi="宋体" w:cs="宋体"/>
          <w:sz w:val="18"/>
          <w:szCs w:val="18"/>
          <w:lang w:val="en-US" w:eastAsia="zh-CN"/>
        </w:rPr>
        <w:t>对预期</w:t>
      </w:r>
      <w:r>
        <w:rPr>
          <w:rFonts w:hint="eastAsia" w:ascii="宋体" w:hAnsi="宋体" w:cs="宋体"/>
          <w:sz w:val="18"/>
          <w:szCs w:val="18"/>
          <w:lang w:val="de-DE"/>
        </w:rPr>
        <w:t>的偏离（正向的或反向的）。</w:t>
      </w:r>
    </w:p>
    <w:p w14:paraId="20497B2D">
      <w:pPr>
        <w:ind w:left="915" w:leftChars="200" w:hanging="495" w:hangingChars="275"/>
        <w:rPr>
          <w:rFonts w:ascii="宋体" w:cs="宋体"/>
          <w:sz w:val="18"/>
          <w:szCs w:val="18"/>
          <w:lang w:val="de-DE"/>
        </w:rPr>
      </w:pPr>
      <w:r>
        <w:rPr>
          <w:rFonts w:hint="eastAsia" w:ascii="黑体" w:hAnsi="黑体" w:eastAsia="黑体" w:cs="宋体"/>
          <w:sz w:val="18"/>
          <w:szCs w:val="18"/>
          <w:lang w:val="de-DE"/>
        </w:rPr>
        <w:t>注2：</w:t>
      </w:r>
      <w:r>
        <w:rPr>
          <w:rFonts w:hint="eastAsia" w:ascii="宋体" w:hAnsi="宋体" w:cs="宋体"/>
          <w:sz w:val="18"/>
          <w:szCs w:val="18"/>
          <w:lang w:val="de-DE"/>
        </w:rPr>
        <w:t>不确定性是对事态及其后果或可能性的相关信息、理解或知识缺乏的状态（即使是部分的）。</w:t>
      </w:r>
    </w:p>
    <w:p w14:paraId="5F3BE396">
      <w:pPr>
        <w:ind w:left="915" w:leftChars="200" w:hanging="495" w:hangingChars="275"/>
        <w:rPr>
          <w:rFonts w:ascii="宋体" w:cs="宋体"/>
          <w:sz w:val="18"/>
          <w:szCs w:val="18"/>
          <w:lang w:val="de-DE"/>
        </w:rPr>
      </w:pPr>
      <w:r>
        <w:rPr>
          <w:rFonts w:hint="eastAsia" w:ascii="黑体" w:hAnsi="黑体" w:eastAsia="黑体" w:cs="宋体"/>
          <w:sz w:val="18"/>
          <w:szCs w:val="18"/>
          <w:lang w:val="de-DE"/>
        </w:rPr>
        <w:t>注3：</w:t>
      </w:r>
      <w:r>
        <w:rPr>
          <w:rFonts w:hint="eastAsia" w:ascii="宋体" w:hAnsi="宋体" w:cs="宋体"/>
          <w:sz w:val="18"/>
          <w:szCs w:val="18"/>
          <w:lang w:val="de-DE"/>
        </w:rPr>
        <w:t>风险常被表征为潜在的“事态”和“后果”，或者它们的组合。</w:t>
      </w:r>
    </w:p>
    <w:p w14:paraId="604AF088">
      <w:pPr>
        <w:ind w:left="915" w:leftChars="200" w:hanging="495" w:hangingChars="275"/>
        <w:rPr>
          <w:rFonts w:ascii="宋体" w:cs="宋体"/>
          <w:sz w:val="18"/>
          <w:szCs w:val="18"/>
          <w:lang w:val="de-DE"/>
        </w:rPr>
      </w:pPr>
      <w:r>
        <w:rPr>
          <w:rFonts w:hint="eastAsia" w:ascii="黑体" w:hAnsi="黑体" w:eastAsia="黑体" w:cs="宋体"/>
          <w:sz w:val="18"/>
          <w:szCs w:val="18"/>
          <w:lang w:val="de-DE"/>
        </w:rPr>
        <w:t>注4：</w:t>
      </w:r>
      <w:r>
        <w:rPr>
          <w:rFonts w:hint="eastAsia" w:ascii="宋体" w:hAnsi="宋体" w:cs="宋体"/>
          <w:sz w:val="18"/>
          <w:szCs w:val="18"/>
          <w:lang w:val="de-DE"/>
        </w:rPr>
        <w:t>风险常被表示为事态（包括情况改变）的后果和其发生“可能性”的组合。</w:t>
      </w:r>
    </w:p>
    <w:p w14:paraId="64943F19">
      <w:pPr>
        <w:ind w:left="915" w:leftChars="200" w:hanging="495" w:hangingChars="275"/>
        <w:rPr>
          <w:rFonts w:ascii="宋体" w:cs="宋体"/>
          <w:sz w:val="18"/>
          <w:szCs w:val="18"/>
          <w:lang w:val="de-DE"/>
        </w:rPr>
      </w:pPr>
      <w:r>
        <w:rPr>
          <w:rFonts w:hint="eastAsia" w:ascii="黑体" w:hAnsi="黑体" w:eastAsia="黑体" w:cs="宋体"/>
          <w:sz w:val="18"/>
          <w:szCs w:val="18"/>
          <w:lang w:val="de-DE"/>
        </w:rPr>
        <w:t>注5：</w:t>
      </w:r>
      <w:r>
        <w:rPr>
          <w:rFonts w:hint="eastAsia" w:ascii="宋体" w:hAnsi="宋体" w:cs="宋体"/>
          <w:sz w:val="18"/>
          <w:szCs w:val="18"/>
          <w:lang w:val="de-DE"/>
        </w:rPr>
        <w:t>在信息安全管理体系的语境下，信息安全风险能被表示为对信息安全目标的不确定性影响。</w:t>
      </w:r>
    </w:p>
    <w:p w14:paraId="03111678">
      <w:pPr>
        <w:ind w:left="915" w:leftChars="200" w:hanging="495" w:hangingChars="275"/>
        <w:rPr>
          <w:rFonts w:ascii="宋体" w:cs="宋体"/>
          <w:sz w:val="18"/>
          <w:szCs w:val="18"/>
          <w:lang w:val="de-DE"/>
        </w:rPr>
      </w:pPr>
      <w:r>
        <w:rPr>
          <w:rFonts w:hint="eastAsia" w:ascii="黑体" w:hAnsi="黑体" w:eastAsia="黑体" w:cs="宋体"/>
          <w:sz w:val="18"/>
          <w:szCs w:val="18"/>
          <w:lang w:val="de-DE"/>
        </w:rPr>
        <w:t>注6：</w:t>
      </w:r>
      <w:r>
        <w:rPr>
          <w:rFonts w:hint="eastAsia" w:ascii="宋体" w:hAnsi="宋体" w:cs="宋体"/>
          <w:sz w:val="18"/>
          <w:szCs w:val="18"/>
          <w:lang w:val="de-DE"/>
        </w:rPr>
        <w:t>信息安全风险与威胁利用信息资产或信息资产组的脆弱性对组织（</w:t>
      </w:r>
      <w:r>
        <w:rPr>
          <w:rFonts w:ascii="宋体" w:hAnsi="宋体" w:cs="宋体"/>
          <w:sz w:val="18"/>
          <w:szCs w:val="18"/>
          <w:lang w:val="de-DE"/>
        </w:rPr>
        <w:fldChar w:fldCharType="begin"/>
      </w:r>
      <w:r>
        <w:rPr>
          <w:rFonts w:ascii="宋体" w:hAnsi="宋体" w:cs="宋体"/>
          <w:sz w:val="18"/>
          <w:szCs w:val="18"/>
          <w:lang w:val="de-DE"/>
        </w:rPr>
        <w:instrText xml:space="preserve"> </w:instrText>
      </w:r>
      <w:r>
        <w:rPr>
          <w:rFonts w:hint="eastAsia" w:ascii="宋体" w:hAnsi="宋体" w:cs="宋体"/>
          <w:sz w:val="18"/>
          <w:szCs w:val="18"/>
          <w:lang w:val="de-DE"/>
        </w:rPr>
        <w:instrText xml:space="preserve">REF _Ref90915406 \r \h</w:instrText>
      </w:r>
      <w:r>
        <w:rPr>
          <w:rFonts w:ascii="宋体" w:hAnsi="宋体" w:cs="宋体"/>
          <w:sz w:val="18"/>
          <w:szCs w:val="18"/>
          <w:lang w:val="de-DE"/>
        </w:rPr>
        <w:instrText xml:space="preserve">  \* MERGEFORMAT </w:instrText>
      </w:r>
      <w:r>
        <w:rPr>
          <w:rFonts w:ascii="宋体" w:hAnsi="宋体" w:cs="宋体"/>
          <w:sz w:val="18"/>
          <w:szCs w:val="18"/>
          <w:lang w:val="de-DE"/>
        </w:rPr>
        <w:fldChar w:fldCharType="separate"/>
      </w:r>
      <w:r>
        <w:rPr>
          <w:rFonts w:ascii="宋体" w:hAnsi="宋体" w:cs="宋体"/>
          <w:sz w:val="18"/>
          <w:szCs w:val="18"/>
          <w:lang w:val="de-DE"/>
        </w:rPr>
        <w:t>3.</w:t>
      </w:r>
      <w:r>
        <w:rPr>
          <w:rFonts w:hint="eastAsia" w:ascii="宋体" w:hAnsi="宋体" w:cs="宋体"/>
          <w:sz w:val="18"/>
          <w:szCs w:val="18"/>
          <w:lang w:val="en-US" w:eastAsia="zh-CN"/>
        </w:rPr>
        <w:t>9</w:t>
      </w:r>
      <w:r>
        <w:rPr>
          <w:rFonts w:ascii="宋体" w:hAnsi="宋体" w:cs="宋体"/>
          <w:sz w:val="18"/>
          <w:szCs w:val="18"/>
          <w:lang w:val="de-DE"/>
        </w:rPr>
        <w:fldChar w:fldCharType="end"/>
      </w:r>
      <w:r>
        <w:rPr>
          <w:rFonts w:hint="eastAsia" w:ascii="宋体" w:hAnsi="宋体" w:cs="宋体"/>
          <w:sz w:val="18"/>
          <w:szCs w:val="18"/>
          <w:lang w:val="de-DE"/>
        </w:rPr>
        <w:t>）造成伤害的潜力相关。</w:t>
      </w:r>
    </w:p>
    <w:p w14:paraId="6E31C86E">
      <w:pPr>
        <w:ind w:firstLine="420" w:firstLineChars="200"/>
        <w:rPr>
          <w:rFonts w:ascii="宋体" w:hAnsi="宋体" w:cs="宋体"/>
          <w:szCs w:val="21"/>
          <w:lang w:val="de-DE"/>
        </w:rPr>
      </w:pPr>
      <w:r>
        <w:rPr>
          <w:rFonts w:ascii="宋体" w:hAnsi="宋体" w:cs="宋体"/>
          <w:szCs w:val="21"/>
          <w:lang w:val="de-DE"/>
        </w:rPr>
        <w:t>[</w:t>
      </w:r>
      <w:r>
        <w:rPr>
          <w:rFonts w:hint="eastAsia" w:ascii="宋体" w:hAnsi="宋体" w:cs="宋体"/>
          <w:szCs w:val="21"/>
          <w:lang w:val="de-DE"/>
        </w:rPr>
        <w:t>来源：</w:t>
      </w:r>
      <w:r>
        <w:rPr>
          <w:rFonts w:hint="eastAsia" w:ascii="宋体" w:hAnsi="宋体" w:cs="宋体"/>
          <w:szCs w:val="21"/>
        </w:rPr>
        <w:t>GB/T 29246</w:t>
      </w:r>
      <w:r>
        <w:rPr>
          <w:rFonts w:hint="eastAsia" w:hAnsi="宋体"/>
        </w:rPr>
        <w:t>—</w:t>
      </w:r>
      <w:r>
        <w:rPr>
          <w:rFonts w:hint="eastAsia" w:ascii="宋体" w:hAnsi="宋体" w:cs="宋体"/>
          <w:szCs w:val="21"/>
        </w:rPr>
        <w:t>202</w:t>
      </w:r>
      <w:r>
        <w:rPr>
          <w:rFonts w:hint="eastAsia" w:ascii="宋体" w:hAnsi="宋体" w:cs="宋体"/>
          <w:szCs w:val="21"/>
          <w:lang w:val="en-US" w:eastAsia="zh-CN"/>
        </w:rPr>
        <w:t>3</w:t>
      </w:r>
      <w:r>
        <w:rPr>
          <w:rFonts w:hint="eastAsia" w:ascii="宋体" w:cs="宋体"/>
          <w:szCs w:val="21"/>
          <w:lang w:val="de-DE"/>
        </w:rPr>
        <w:t>，</w:t>
      </w:r>
      <w:r>
        <w:rPr>
          <w:rFonts w:ascii="宋体" w:cs="宋体"/>
          <w:szCs w:val="21"/>
          <w:lang w:val="de-DE"/>
        </w:rPr>
        <w:t>3.</w:t>
      </w:r>
      <w:r>
        <w:rPr>
          <w:rFonts w:hint="eastAsia" w:ascii="宋体" w:cs="宋体"/>
          <w:szCs w:val="21"/>
        </w:rPr>
        <w:t>61</w:t>
      </w:r>
      <w:r>
        <w:rPr>
          <w:rFonts w:hint="eastAsia" w:ascii="宋体" w:cs="宋体"/>
          <w:szCs w:val="21"/>
          <w:lang w:eastAsia="zh-CN"/>
        </w:rPr>
        <w:t>，</w:t>
      </w:r>
      <w:r>
        <w:rPr>
          <w:rFonts w:hint="eastAsia" w:ascii="宋体" w:cs="宋体"/>
          <w:szCs w:val="21"/>
          <w:lang w:val="en-US" w:eastAsia="zh-CN"/>
        </w:rPr>
        <w:t>有修改</w:t>
      </w:r>
      <w:r>
        <w:rPr>
          <w:rFonts w:ascii="宋体" w:hAnsi="宋体" w:cs="宋体"/>
          <w:szCs w:val="21"/>
          <w:lang w:val="de-DE"/>
        </w:rPr>
        <w:t>]</w:t>
      </w:r>
    </w:p>
    <w:p w14:paraId="6FE6CECC">
      <w:pPr>
        <w:numPr>
          <w:ilvl w:val="0"/>
          <w:numId w:val="20"/>
        </w:numPr>
        <w:spacing w:line="300" w:lineRule="auto"/>
        <w:rPr>
          <w:rFonts w:hAnsi="宋体"/>
          <w:szCs w:val="21"/>
        </w:rPr>
      </w:pPr>
    </w:p>
    <w:p w14:paraId="5313BD4F">
      <w:pPr>
        <w:pStyle w:val="36"/>
        <w:rPr>
          <w:rFonts w:ascii="黑体" w:hAnsi="黑体" w:eastAsia="黑体"/>
          <w:bCs/>
          <w:szCs w:val="21"/>
          <w:lang w:val="de-DE"/>
        </w:rPr>
      </w:pPr>
      <w:bookmarkStart w:id="152" w:name="_Toc68209744"/>
      <w:bookmarkStart w:id="153" w:name="_Toc458111287"/>
      <w:bookmarkStart w:id="154" w:name="_Toc107222908"/>
      <w:bookmarkStart w:id="155" w:name="_Toc108462292"/>
      <w:bookmarkStart w:id="156" w:name="_Ref90915989"/>
      <w:bookmarkStart w:id="157" w:name="_Ref90915567"/>
      <w:bookmarkStart w:id="158" w:name="_Toc471835313"/>
      <w:bookmarkStart w:id="159" w:name="_Toc108462664"/>
      <w:bookmarkStart w:id="160" w:name="_Ref107221707"/>
      <w:r>
        <w:rPr>
          <w:rFonts w:hint="eastAsia" w:ascii="黑体" w:hAnsi="黑体" w:eastAsia="黑体"/>
          <w:bCs/>
          <w:szCs w:val="21"/>
          <w:lang w:val="de-DE"/>
        </w:rPr>
        <w:t>风险分析　risk analysis</w:t>
      </w:r>
      <w:bookmarkEnd w:id="152"/>
      <w:bookmarkEnd w:id="153"/>
      <w:bookmarkEnd w:id="154"/>
      <w:bookmarkEnd w:id="155"/>
      <w:bookmarkEnd w:id="156"/>
      <w:bookmarkEnd w:id="157"/>
      <w:bookmarkEnd w:id="158"/>
      <w:bookmarkEnd w:id="159"/>
      <w:bookmarkEnd w:id="160"/>
    </w:p>
    <w:p w14:paraId="5D5BB50E">
      <w:pPr>
        <w:ind w:firstLine="420" w:firstLineChars="200"/>
        <w:rPr>
          <w:rFonts w:ascii="宋体" w:cs="宋体"/>
          <w:szCs w:val="21"/>
          <w:lang w:val="de-DE"/>
        </w:rPr>
      </w:pPr>
      <w:r>
        <w:rPr>
          <w:rFonts w:hint="eastAsia" w:ascii="宋体" w:cs="宋体"/>
          <w:szCs w:val="21"/>
          <w:lang w:val="de-DE"/>
        </w:rPr>
        <w:t>理解风险（</w:t>
      </w:r>
      <w:r>
        <w:rPr>
          <w:rFonts w:ascii="宋体" w:cs="宋体"/>
          <w:szCs w:val="21"/>
          <w:lang w:val="de-DE"/>
        </w:rPr>
        <w:fldChar w:fldCharType="begin"/>
      </w:r>
      <w:r>
        <w:rPr>
          <w:rFonts w:ascii="宋体" w:cs="宋体"/>
          <w:szCs w:val="21"/>
          <w:lang w:val="de-DE"/>
        </w:rPr>
        <w:instrText xml:space="preserve"> </w:instrText>
      </w:r>
      <w:r>
        <w:rPr>
          <w:rFonts w:hint="eastAsia" w:ascii="宋体" w:cs="宋体"/>
          <w:szCs w:val="21"/>
          <w:lang w:val="de-DE"/>
        </w:rPr>
        <w:instrText xml:space="preserve">REF _Ref90915509 \r \h</w:instrText>
      </w:r>
      <w:r>
        <w:rPr>
          <w:rFonts w:ascii="宋体" w:cs="宋体"/>
          <w:szCs w:val="21"/>
          <w:lang w:val="de-DE"/>
        </w:rPr>
        <w:instrText xml:space="preserve"> </w:instrText>
      </w:r>
      <w:r>
        <w:rPr>
          <w:rFonts w:ascii="宋体" w:cs="宋体"/>
          <w:szCs w:val="21"/>
          <w:lang w:val="de-DE"/>
        </w:rPr>
        <w:fldChar w:fldCharType="separate"/>
      </w:r>
      <w:r>
        <w:rPr>
          <w:rFonts w:ascii="宋体" w:cs="宋体"/>
          <w:szCs w:val="21"/>
          <w:lang w:val="de-DE"/>
        </w:rPr>
        <w:t>3.</w:t>
      </w:r>
      <w:r>
        <w:rPr>
          <w:rFonts w:hint="eastAsia" w:ascii="宋体" w:cs="宋体"/>
          <w:szCs w:val="21"/>
        </w:rPr>
        <w:t>10</w:t>
      </w:r>
      <w:r>
        <w:rPr>
          <w:rFonts w:ascii="宋体" w:cs="宋体"/>
          <w:szCs w:val="21"/>
          <w:lang w:val="de-DE"/>
        </w:rPr>
        <w:fldChar w:fldCharType="end"/>
      </w:r>
      <w:r>
        <w:rPr>
          <w:rFonts w:hint="eastAsia" w:ascii="宋体" w:cs="宋体"/>
          <w:szCs w:val="21"/>
          <w:lang w:val="de-DE"/>
        </w:rPr>
        <w:t>）本质和确定风险级别的过程。</w:t>
      </w:r>
    </w:p>
    <w:p w14:paraId="758A720A">
      <w:pPr>
        <w:ind w:left="915" w:leftChars="200" w:hanging="495" w:hangingChars="275"/>
        <w:rPr>
          <w:rFonts w:ascii="宋体" w:cs="宋体"/>
          <w:sz w:val="18"/>
          <w:szCs w:val="18"/>
          <w:lang w:val="de-DE"/>
        </w:rPr>
      </w:pPr>
      <w:r>
        <w:rPr>
          <w:rFonts w:hint="eastAsia" w:ascii="黑体" w:hAnsi="黑体" w:eastAsia="黑体" w:cs="宋体"/>
          <w:sz w:val="18"/>
          <w:szCs w:val="18"/>
          <w:lang w:val="de-DE"/>
        </w:rPr>
        <w:t>注1：</w:t>
      </w:r>
      <w:r>
        <w:rPr>
          <w:rFonts w:hint="eastAsia" w:ascii="宋体" w:hAnsi="宋体" w:cs="宋体"/>
          <w:sz w:val="18"/>
          <w:szCs w:val="18"/>
          <w:lang w:val="de-DE"/>
        </w:rPr>
        <w:t>风险分析为风险评价和风险处置（</w:t>
      </w:r>
      <w:r>
        <w:rPr>
          <w:rFonts w:ascii="宋体" w:hAnsi="宋体" w:cs="宋体"/>
          <w:sz w:val="18"/>
          <w:szCs w:val="18"/>
          <w:lang w:val="de-DE"/>
        </w:rPr>
        <w:fldChar w:fldCharType="begin"/>
      </w:r>
      <w:r>
        <w:rPr>
          <w:rFonts w:ascii="宋体" w:hAnsi="宋体" w:cs="宋体"/>
          <w:sz w:val="18"/>
          <w:szCs w:val="18"/>
          <w:lang w:val="de-DE"/>
        </w:rPr>
        <w:instrText xml:space="preserve"> </w:instrText>
      </w:r>
      <w:r>
        <w:rPr>
          <w:rFonts w:hint="eastAsia" w:ascii="宋体" w:hAnsi="宋体" w:cs="宋体"/>
          <w:sz w:val="18"/>
          <w:szCs w:val="18"/>
          <w:lang w:val="de-DE"/>
        </w:rPr>
        <w:instrText xml:space="preserve">REF _Ref90915547 \r \h</w:instrText>
      </w:r>
      <w:r>
        <w:rPr>
          <w:rFonts w:ascii="宋体" w:hAnsi="宋体" w:cs="宋体"/>
          <w:sz w:val="18"/>
          <w:szCs w:val="18"/>
          <w:lang w:val="de-DE"/>
        </w:rPr>
        <w:instrText xml:space="preserve"> </w:instrText>
      </w:r>
      <w:r>
        <w:rPr>
          <w:rFonts w:ascii="宋体" w:hAnsi="宋体" w:cs="宋体"/>
          <w:sz w:val="18"/>
          <w:szCs w:val="18"/>
          <w:lang w:val="de-DE"/>
        </w:rPr>
        <w:fldChar w:fldCharType="separate"/>
      </w:r>
      <w:r>
        <w:rPr>
          <w:rFonts w:ascii="宋体" w:hAnsi="宋体" w:cs="宋体"/>
          <w:sz w:val="18"/>
          <w:szCs w:val="18"/>
          <w:lang w:val="de-DE"/>
        </w:rPr>
        <w:t>3.</w:t>
      </w:r>
      <w:r>
        <w:rPr>
          <w:rFonts w:hint="eastAsia" w:ascii="宋体" w:hAnsi="宋体" w:cs="宋体"/>
          <w:sz w:val="18"/>
          <w:szCs w:val="18"/>
        </w:rPr>
        <w:t>14</w:t>
      </w:r>
      <w:r>
        <w:rPr>
          <w:rFonts w:ascii="宋体" w:hAnsi="宋体" w:cs="宋体"/>
          <w:sz w:val="18"/>
          <w:szCs w:val="18"/>
          <w:lang w:val="de-DE"/>
        </w:rPr>
        <w:fldChar w:fldCharType="end"/>
      </w:r>
      <w:r>
        <w:rPr>
          <w:rFonts w:hint="eastAsia" w:ascii="宋体" w:hAnsi="宋体" w:cs="宋体"/>
          <w:sz w:val="18"/>
          <w:szCs w:val="18"/>
          <w:lang w:val="de-DE"/>
        </w:rPr>
        <w:t>）决策提供基础。</w:t>
      </w:r>
    </w:p>
    <w:p w14:paraId="348D5932">
      <w:pPr>
        <w:ind w:left="915" w:leftChars="200" w:hanging="495" w:hangingChars="275"/>
        <w:rPr>
          <w:rFonts w:ascii="宋体" w:hAnsi="宋体" w:cs="宋体"/>
          <w:sz w:val="18"/>
          <w:szCs w:val="18"/>
        </w:rPr>
      </w:pPr>
      <w:r>
        <w:rPr>
          <w:rFonts w:hint="eastAsia" w:ascii="黑体" w:hAnsi="黑体" w:eastAsia="黑体" w:cs="宋体"/>
          <w:sz w:val="18"/>
          <w:szCs w:val="18"/>
          <w:lang w:val="de-DE"/>
        </w:rPr>
        <w:t>注2：</w:t>
      </w:r>
      <w:r>
        <w:rPr>
          <w:rFonts w:hint="eastAsia" w:ascii="宋体" w:hAnsi="宋体" w:cs="宋体"/>
          <w:sz w:val="18"/>
          <w:szCs w:val="18"/>
          <w:lang w:val="de-DE"/>
        </w:rPr>
        <w:t>风险分析包括风险估算。</w:t>
      </w:r>
    </w:p>
    <w:p w14:paraId="5E201920">
      <w:pPr>
        <w:pStyle w:val="36"/>
        <w:rPr>
          <w:rFonts w:hAnsi="宋体" w:cs="宋体"/>
          <w:sz w:val="18"/>
          <w:szCs w:val="18"/>
        </w:rPr>
      </w:pPr>
      <w:r>
        <w:rPr>
          <w:rFonts w:hAnsi="宋体" w:cs="宋体"/>
          <w:szCs w:val="21"/>
          <w:lang w:val="de-DE"/>
        </w:rPr>
        <w:t>[</w:t>
      </w:r>
      <w:r>
        <w:rPr>
          <w:rFonts w:hint="eastAsia" w:hAnsi="宋体" w:cs="宋体"/>
          <w:szCs w:val="21"/>
          <w:lang w:val="de-DE"/>
        </w:rPr>
        <w:t>来源：</w:t>
      </w:r>
      <w:r>
        <w:rPr>
          <w:rFonts w:hint="eastAsia" w:hAnsi="宋体" w:cs="宋体"/>
          <w:szCs w:val="21"/>
          <w:lang w:eastAsia="zh-CN"/>
        </w:rPr>
        <w:t>GB/T 29246—2023</w:t>
      </w:r>
      <w:r>
        <w:rPr>
          <w:rFonts w:hint="eastAsia" w:cs="宋体"/>
          <w:szCs w:val="21"/>
          <w:lang w:val="de-DE"/>
        </w:rPr>
        <w:t>，</w:t>
      </w:r>
      <w:r>
        <w:rPr>
          <w:rFonts w:cs="宋体"/>
          <w:szCs w:val="21"/>
          <w:lang w:val="de-DE"/>
        </w:rPr>
        <w:t>3.</w:t>
      </w:r>
      <w:r>
        <w:rPr>
          <w:rFonts w:hint="eastAsia" w:cs="宋体"/>
          <w:szCs w:val="21"/>
        </w:rPr>
        <w:t>63]</w:t>
      </w:r>
    </w:p>
    <w:p w14:paraId="31EE5C25">
      <w:pPr>
        <w:numPr>
          <w:ilvl w:val="0"/>
          <w:numId w:val="20"/>
        </w:numPr>
        <w:spacing w:line="300" w:lineRule="auto"/>
        <w:rPr>
          <w:rFonts w:hAnsi="宋体"/>
          <w:szCs w:val="21"/>
        </w:rPr>
      </w:pPr>
    </w:p>
    <w:p w14:paraId="194FDAB0">
      <w:pPr>
        <w:pStyle w:val="36"/>
        <w:rPr>
          <w:rFonts w:ascii="黑体" w:hAnsi="黑体" w:eastAsia="黑体"/>
          <w:bCs/>
          <w:szCs w:val="21"/>
          <w:lang w:val="de-DE"/>
        </w:rPr>
      </w:pPr>
      <w:bookmarkStart w:id="161" w:name="_Toc108462665"/>
      <w:bookmarkStart w:id="162" w:name="_Toc68209745"/>
      <w:bookmarkStart w:id="163" w:name="_Toc107222909"/>
      <w:bookmarkStart w:id="164" w:name="_Toc108462293"/>
      <w:bookmarkStart w:id="165" w:name="_Toc458111288"/>
      <w:bookmarkStart w:id="166" w:name="_Ref107221721"/>
      <w:bookmarkStart w:id="167" w:name="_Toc471835314"/>
      <w:r>
        <w:rPr>
          <w:rFonts w:hint="eastAsia" w:ascii="黑体" w:hAnsi="黑体" w:eastAsia="黑体"/>
          <w:bCs/>
          <w:szCs w:val="21"/>
          <w:lang w:val="de-DE"/>
        </w:rPr>
        <w:t>风险评估　risk assessment</w:t>
      </w:r>
      <w:bookmarkEnd w:id="161"/>
      <w:bookmarkEnd w:id="162"/>
      <w:bookmarkEnd w:id="163"/>
      <w:bookmarkEnd w:id="164"/>
      <w:bookmarkEnd w:id="165"/>
      <w:bookmarkEnd w:id="166"/>
      <w:bookmarkEnd w:id="167"/>
    </w:p>
    <w:p w14:paraId="0617D1C4">
      <w:pPr>
        <w:ind w:firstLine="420" w:firstLineChars="200"/>
        <w:rPr>
          <w:rFonts w:ascii="宋体" w:cs="宋体"/>
          <w:szCs w:val="21"/>
          <w:lang w:val="de-DE"/>
        </w:rPr>
      </w:pPr>
      <w:r>
        <w:rPr>
          <w:rFonts w:hint="eastAsia" w:ascii="宋体" w:cs="宋体"/>
          <w:szCs w:val="21"/>
          <w:lang w:val="de-DE"/>
        </w:rPr>
        <w:t>风险识别、风险分析（</w:t>
      </w:r>
      <w:r>
        <w:rPr>
          <w:rFonts w:ascii="宋体" w:cs="宋体"/>
          <w:szCs w:val="21"/>
          <w:lang w:val="de-DE"/>
        </w:rPr>
        <w:fldChar w:fldCharType="begin"/>
      </w:r>
      <w:r>
        <w:rPr>
          <w:rFonts w:ascii="宋体" w:cs="宋体"/>
          <w:szCs w:val="21"/>
          <w:lang w:val="de-DE"/>
        </w:rPr>
        <w:instrText xml:space="preserve"> </w:instrText>
      </w:r>
      <w:r>
        <w:rPr>
          <w:rFonts w:hint="eastAsia" w:ascii="宋体" w:cs="宋体"/>
          <w:szCs w:val="21"/>
          <w:lang w:val="de-DE"/>
        </w:rPr>
        <w:instrText xml:space="preserve">REF _Ref90915567 \r \h</w:instrText>
      </w:r>
      <w:r>
        <w:rPr>
          <w:rFonts w:ascii="宋体" w:cs="宋体"/>
          <w:szCs w:val="21"/>
          <w:lang w:val="de-DE"/>
        </w:rPr>
        <w:instrText xml:space="preserve"> </w:instrText>
      </w:r>
      <w:r>
        <w:rPr>
          <w:rFonts w:ascii="宋体" w:cs="宋体"/>
          <w:szCs w:val="21"/>
          <w:lang w:val="de-DE"/>
        </w:rPr>
        <w:fldChar w:fldCharType="separate"/>
      </w:r>
      <w:r>
        <w:rPr>
          <w:rFonts w:ascii="宋体" w:cs="宋体"/>
          <w:szCs w:val="21"/>
          <w:lang w:val="de-DE"/>
        </w:rPr>
        <w:t>3.</w:t>
      </w:r>
      <w:r>
        <w:rPr>
          <w:rFonts w:hint="eastAsia" w:ascii="宋体" w:cs="宋体"/>
          <w:szCs w:val="21"/>
        </w:rPr>
        <w:t>11</w:t>
      </w:r>
      <w:r>
        <w:rPr>
          <w:rFonts w:ascii="宋体" w:cs="宋体"/>
          <w:szCs w:val="21"/>
          <w:lang w:val="de-DE"/>
        </w:rPr>
        <w:fldChar w:fldCharType="end"/>
      </w:r>
      <w:r>
        <w:rPr>
          <w:rFonts w:hint="eastAsia" w:ascii="宋体" w:cs="宋体"/>
          <w:szCs w:val="21"/>
          <w:lang w:val="de-DE"/>
        </w:rPr>
        <w:t>）和风险评价的全过程。</w:t>
      </w:r>
    </w:p>
    <w:p w14:paraId="10C70251">
      <w:pPr>
        <w:pStyle w:val="36"/>
        <w:rPr>
          <w:rFonts w:hAnsi="宋体" w:cs="宋体"/>
          <w:sz w:val="18"/>
          <w:szCs w:val="18"/>
        </w:rPr>
      </w:pPr>
      <w:r>
        <w:rPr>
          <w:rFonts w:hAnsi="宋体" w:cs="宋体"/>
          <w:szCs w:val="21"/>
          <w:lang w:val="de-DE"/>
        </w:rPr>
        <w:t>[</w:t>
      </w:r>
      <w:r>
        <w:rPr>
          <w:rFonts w:hint="eastAsia" w:hAnsi="宋体" w:cs="宋体"/>
          <w:szCs w:val="21"/>
          <w:lang w:val="de-DE"/>
        </w:rPr>
        <w:t>来源：</w:t>
      </w:r>
      <w:r>
        <w:rPr>
          <w:rFonts w:hint="eastAsia" w:hAnsi="宋体" w:cs="宋体"/>
          <w:szCs w:val="21"/>
          <w:lang w:eastAsia="zh-CN"/>
        </w:rPr>
        <w:t>GB/T 29246—2023</w:t>
      </w:r>
      <w:r>
        <w:rPr>
          <w:rFonts w:hint="eastAsia" w:cs="宋体"/>
          <w:szCs w:val="21"/>
          <w:lang w:val="de-DE"/>
        </w:rPr>
        <w:t>，</w:t>
      </w:r>
      <w:r>
        <w:rPr>
          <w:rFonts w:cs="宋体"/>
          <w:szCs w:val="21"/>
          <w:lang w:val="de-DE"/>
        </w:rPr>
        <w:t>3.</w:t>
      </w:r>
      <w:r>
        <w:rPr>
          <w:rFonts w:hint="eastAsia" w:cs="宋体"/>
          <w:szCs w:val="21"/>
        </w:rPr>
        <w:t>64]</w:t>
      </w:r>
    </w:p>
    <w:p w14:paraId="53FD3D0C">
      <w:pPr>
        <w:numPr>
          <w:ilvl w:val="0"/>
          <w:numId w:val="20"/>
        </w:numPr>
        <w:spacing w:line="300" w:lineRule="auto"/>
        <w:rPr>
          <w:rFonts w:hAnsi="宋体"/>
          <w:szCs w:val="21"/>
        </w:rPr>
      </w:pPr>
    </w:p>
    <w:p w14:paraId="579F5AE5">
      <w:pPr>
        <w:pStyle w:val="36"/>
        <w:rPr>
          <w:rFonts w:ascii="黑体" w:hAnsi="黑体" w:eastAsia="黑体"/>
          <w:bCs/>
          <w:szCs w:val="21"/>
          <w:lang w:val="de-DE"/>
        </w:rPr>
      </w:pPr>
      <w:bookmarkStart w:id="168" w:name="_Ref107221871"/>
      <w:bookmarkStart w:id="169" w:name="_Ref90916118"/>
      <w:bookmarkStart w:id="170" w:name="_Toc108462670"/>
      <w:bookmarkStart w:id="171" w:name="_Toc458111293"/>
      <w:bookmarkStart w:id="172" w:name="_Toc471835319"/>
      <w:bookmarkStart w:id="173" w:name="_Toc108462298"/>
      <w:bookmarkStart w:id="174" w:name="_Toc107222914"/>
      <w:bookmarkStart w:id="175" w:name="_Toc68209750"/>
      <w:r>
        <w:rPr>
          <w:rFonts w:hint="eastAsia" w:ascii="黑体" w:hAnsi="黑体" w:eastAsia="黑体"/>
          <w:bCs/>
          <w:szCs w:val="21"/>
          <w:lang w:val="de-DE"/>
        </w:rPr>
        <w:t>风险管理　risk management</w:t>
      </w:r>
      <w:bookmarkEnd w:id="168"/>
      <w:bookmarkEnd w:id="169"/>
      <w:bookmarkEnd w:id="170"/>
      <w:bookmarkEnd w:id="171"/>
      <w:bookmarkEnd w:id="172"/>
      <w:bookmarkEnd w:id="173"/>
      <w:bookmarkEnd w:id="174"/>
      <w:bookmarkEnd w:id="175"/>
    </w:p>
    <w:p w14:paraId="49C8FBF7">
      <w:pPr>
        <w:ind w:firstLine="420" w:firstLineChars="200"/>
        <w:rPr>
          <w:rFonts w:ascii="宋体" w:cs="宋体"/>
          <w:szCs w:val="21"/>
          <w:lang w:val="de-DE"/>
        </w:rPr>
      </w:pPr>
      <w:r>
        <w:rPr>
          <w:rFonts w:hint="eastAsia" w:ascii="宋体" w:cs="宋体"/>
          <w:szCs w:val="21"/>
          <w:lang w:val="de-DE"/>
        </w:rPr>
        <w:t>指导和控制组织（</w:t>
      </w:r>
      <w:r>
        <w:rPr>
          <w:rFonts w:ascii="宋体" w:cs="宋体"/>
          <w:szCs w:val="21"/>
          <w:lang w:val="de-DE"/>
        </w:rPr>
        <w:fldChar w:fldCharType="begin"/>
      </w:r>
      <w:r>
        <w:rPr>
          <w:rFonts w:ascii="宋体" w:cs="宋体"/>
          <w:szCs w:val="21"/>
          <w:lang w:val="de-DE"/>
        </w:rPr>
        <w:instrText xml:space="preserve"> </w:instrText>
      </w:r>
      <w:r>
        <w:rPr>
          <w:rFonts w:hint="eastAsia" w:ascii="宋体" w:cs="宋体"/>
          <w:szCs w:val="21"/>
          <w:lang w:val="de-DE"/>
        </w:rPr>
        <w:instrText xml:space="preserve">REF _Ref90916080 \r \h</w:instrText>
      </w:r>
      <w:r>
        <w:rPr>
          <w:rFonts w:ascii="宋体" w:cs="宋体"/>
          <w:szCs w:val="21"/>
          <w:lang w:val="de-DE"/>
        </w:rPr>
        <w:instrText xml:space="preserve"> </w:instrText>
      </w:r>
      <w:r>
        <w:rPr>
          <w:rFonts w:ascii="宋体" w:cs="宋体"/>
          <w:szCs w:val="21"/>
          <w:lang w:val="de-DE"/>
        </w:rPr>
        <w:fldChar w:fldCharType="separate"/>
      </w:r>
      <w:r>
        <w:rPr>
          <w:rFonts w:ascii="宋体" w:cs="宋体"/>
          <w:szCs w:val="21"/>
          <w:lang w:val="de-DE"/>
        </w:rPr>
        <w:t>3.</w:t>
      </w:r>
      <w:r>
        <w:rPr>
          <w:rFonts w:hint="eastAsia" w:ascii="宋体" w:cs="宋体"/>
          <w:szCs w:val="21"/>
        </w:rPr>
        <w:t>9</w:t>
      </w:r>
      <w:r>
        <w:rPr>
          <w:rFonts w:ascii="宋体" w:cs="宋体"/>
          <w:szCs w:val="21"/>
          <w:lang w:val="de-DE"/>
        </w:rPr>
        <w:fldChar w:fldCharType="end"/>
      </w:r>
      <w:r>
        <w:rPr>
          <w:rFonts w:hint="eastAsia" w:ascii="宋体" w:cs="宋体"/>
          <w:szCs w:val="21"/>
          <w:lang w:val="de-DE"/>
        </w:rPr>
        <w:t>）相关风险（</w:t>
      </w:r>
      <w:r>
        <w:rPr>
          <w:rFonts w:ascii="宋体" w:cs="宋体"/>
          <w:szCs w:val="21"/>
          <w:lang w:val="de-DE"/>
        </w:rPr>
        <w:fldChar w:fldCharType="begin"/>
      </w:r>
      <w:r>
        <w:rPr>
          <w:rFonts w:ascii="宋体" w:cs="宋体"/>
          <w:szCs w:val="21"/>
          <w:lang w:val="de-DE"/>
        </w:rPr>
        <w:instrText xml:space="preserve"> </w:instrText>
      </w:r>
      <w:r>
        <w:rPr>
          <w:rFonts w:hint="eastAsia" w:ascii="宋体" w:cs="宋体"/>
          <w:szCs w:val="21"/>
          <w:lang w:val="de-DE"/>
        </w:rPr>
        <w:instrText xml:space="preserve">REF _Ref90916089 \r \h</w:instrText>
      </w:r>
      <w:r>
        <w:rPr>
          <w:rFonts w:ascii="宋体" w:cs="宋体"/>
          <w:szCs w:val="21"/>
          <w:lang w:val="de-DE"/>
        </w:rPr>
        <w:instrText xml:space="preserve"> </w:instrText>
      </w:r>
      <w:r>
        <w:rPr>
          <w:rFonts w:ascii="宋体" w:cs="宋体"/>
          <w:szCs w:val="21"/>
          <w:lang w:val="de-DE"/>
        </w:rPr>
        <w:fldChar w:fldCharType="separate"/>
      </w:r>
      <w:r>
        <w:rPr>
          <w:rFonts w:ascii="宋体" w:cs="宋体"/>
          <w:szCs w:val="21"/>
          <w:lang w:val="de-DE"/>
        </w:rPr>
        <w:t>3.</w:t>
      </w:r>
      <w:r>
        <w:rPr>
          <w:rFonts w:hint="eastAsia" w:ascii="宋体" w:cs="宋体"/>
          <w:szCs w:val="21"/>
        </w:rPr>
        <w:t>10</w:t>
      </w:r>
      <w:r>
        <w:rPr>
          <w:rFonts w:ascii="宋体" w:cs="宋体"/>
          <w:szCs w:val="21"/>
          <w:lang w:val="de-DE"/>
        </w:rPr>
        <w:fldChar w:fldCharType="end"/>
      </w:r>
      <w:r>
        <w:rPr>
          <w:rFonts w:hint="eastAsia" w:ascii="宋体" w:cs="宋体"/>
          <w:szCs w:val="21"/>
          <w:lang w:val="de-DE"/>
        </w:rPr>
        <w:t>）的协调活动。</w:t>
      </w:r>
    </w:p>
    <w:p w14:paraId="2B7930C5">
      <w:pPr>
        <w:pStyle w:val="36"/>
        <w:rPr>
          <w:rFonts w:hAnsi="宋体" w:cs="宋体"/>
          <w:sz w:val="18"/>
          <w:szCs w:val="18"/>
        </w:rPr>
      </w:pPr>
      <w:r>
        <w:rPr>
          <w:rFonts w:hAnsi="宋体" w:cs="宋体"/>
          <w:szCs w:val="21"/>
          <w:lang w:val="de-DE"/>
        </w:rPr>
        <w:t>[</w:t>
      </w:r>
      <w:r>
        <w:rPr>
          <w:rFonts w:hint="eastAsia" w:hAnsi="宋体" w:cs="宋体"/>
          <w:szCs w:val="21"/>
          <w:lang w:val="de-DE"/>
        </w:rPr>
        <w:t>来源：</w:t>
      </w:r>
      <w:r>
        <w:rPr>
          <w:rFonts w:hint="eastAsia" w:hAnsi="宋体" w:cs="宋体"/>
          <w:szCs w:val="21"/>
          <w:lang w:eastAsia="zh-CN"/>
        </w:rPr>
        <w:t>GB/T 29246—2023</w:t>
      </w:r>
      <w:r>
        <w:rPr>
          <w:rFonts w:hint="eastAsia" w:cs="宋体"/>
          <w:szCs w:val="21"/>
          <w:lang w:val="de-DE"/>
        </w:rPr>
        <w:t>，</w:t>
      </w:r>
      <w:r>
        <w:rPr>
          <w:rFonts w:cs="宋体"/>
          <w:szCs w:val="21"/>
          <w:lang w:val="de-DE"/>
        </w:rPr>
        <w:t>3.</w:t>
      </w:r>
      <w:r>
        <w:rPr>
          <w:rFonts w:hint="eastAsia" w:cs="宋体"/>
          <w:szCs w:val="21"/>
        </w:rPr>
        <w:t>69]</w:t>
      </w:r>
    </w:p>
    <w:p w14:paraId="01AE9CDB">
      <w:pPr>
        <w:numPr>
          <w:ilvl w:val="0"/>
          <w:numId w:val="20"/>
        </w:numPr>
        <w:spacing w:line="300" w:lineRule="auto"/>
        <w:rPr>
          <w:rFonts w:hAnsi="宋体"/>
          <w:szCs w:val="21"/>
        </w:rPr>
      </w:pPr>
    </w:p>
    <w:p w14:paraId="39983B55">
      <w:pPr>
        <w:pStyle w:val="36"/>
        <w:rPr>
          <w:rFonts w:ascii="黑体" w:hAnsi="黑体" w:eastAsia="黑体"/>
          <w:bCs/>
          <w:szCs w:val="21"/>
          <w:lang w:val="de-DE"/>
        </w:rPr>
      </w:pPr>
      <w:bookmarkStart w:id="176" w:name="_Toc458111296"/>
      <w:bookmarkStart w:id="177" w:name="_Toc108462673"/>
      <w:bookmarkStart w:id="178" w:name="_Toc108462301"/>
      <w:bookmarkStart w:id="179" w:name="_Ref90915547"/>
      <w:bookmarkStart w:id="180" w:name="_Ref107221912"/>
      <w:bookmarkStart w:id="181" w:name="_Toc107222917"/>
      <w:bookmarkStart w:id="182" w:name="_Ref90915178"/>
      <w:bookmarkStart w:id="183" w:name="_Toc471835322"/>
      <w:bookmarkStart w:id="184" w:name="_Ref90915428"/>
      <w:bookmarkStart w:id="185" w:name="_Ref90916022"/>
      <w:bookmarkStart w:id="186" w:name="_Toc68209753"/>
      <w:r>
        <w:rPr>
          <w:rFonts w:hint="eastAsia" w:ascii="黑体" w:hAnsi="黑体" w:eastAsia="黑体"/>
          <w:bCs/>
          <w:szCs w:val="21"/>
          <w:lang w:val="de-DE"/>
        </w:rPr>
        <w:t>风险处置　risk treatment</w:t>
      </w:r>
      <w:bookmarkEnd w:id="176"/>
      <w:bookmarkEnd w:id="177"/>
      <w:bookmarkEnd w:id="178"/>
      <w:bookmarkEnd w:id="179"/>
      <w:bookmarkEnd w:id="180"/>
      <w:bookmarkEnd w:id="181"/>
      <w:bookmarkEnd w:id="182"/>
      <w:bookmarkEnd w:id="183"/>
      <w:bookmarkEnd w:id="184"/>
      <w:bookmarkEnd w:id="185"/>
      <w:bookmarkEnd w:id="186"/>
    </w:p>
    <w:p w14:paraId="7055AA70">
      <w:pPr>
        <w:ind w:firstLine="420" w:firstLineChars="200"/>
        <w:rPr>
          <w:rFonts w:ascii="宋体" w:cs="宋体"/>
          <w:szCs w:val="21"/>
          <w:lang w:val="de-DE"/>
        </w:rPr>
      </w:pPr>
      <w:r>
        <w:rPr>
          <w:rFonts w:hint="eastAsia" w:ascii="宋体" w:cs="宋体"/>
          <w:szCs w:val="21"/>
          <w:lang w:val="de-DE"/>
        </w:rPr>
        <w:t>改变风险（</w:t>
      </w:r>
      <w:r>
        <w:rPr>
          <w:rFonts w:ascii="宋体" w:cs="宋体"/>
          <w:szCs w:val="21"/>
          <w:lang w:val="de-DE"/>
        </w:rPr>
        <w:fldChar w:fldCharType="begin"/>
      </w:r>
      <w:r>
        <w:rPr>
          <w:rFonts w:ascii="宋体" w:cs="宋体"/>
          <w:szCs w:val="21"/>
          <w:lang w:val="de-DE"/>
        </w:rPr>
        <w:instrText xml:space="preserve"> </w:instrText>
      </w:r>
      <w:r>
        <w:rPr>
          <w:rFonts w:hint="eastAsia" w:ascii="宋体" w:cs="宋体"/>
          <w:szCs w:val="21"/>
          <w:lang w:val="de-DE"/>
        </w:rPr>
        <w:instrText xml:space="preserve">REF _Ref90916137 \r \h</w:instrText>
      </w:r>
      <w:r>
        <w:rPr>
          <w:rFonts w:ascii="宋体" w:cs="宋体"/>
          <w:szCs w:val="21"/>
          <w:lang w:val="de-DE"/>
        </w:rPr>
        <w:instrText xml:space="preserve"> </w:instrText>
      </w:r>
      <w:r>
        <w:rPr>
          <w:rFonts w:ascii="宋体" w:cs="宋体"/>
          <w:szCs w:val="21"/>
          <w:lang w:val="de-DE"/>
        </w:rPr>
        <w:fldChar w:fldCharType="separate"/>
      </w:r>
      <w:r>
        <w:rPr>
          <w:rFonts w:ascii="宋体" w:cs="宋体"/>
          <w:szCs w:val="21"/>
          <w:lang w:val="de-DE"/>
        </w:rPr>
        <w:t>3.</w:t>
      </w:r>
      <w:r>
        <w:rPr>
          <w:rFonts w:hint="eastAsia" w:ascii="宋体" w:cs="宋体"/>
          <w:szCs w:val="21"/>
        </w:rPr>
        <w:t>10</w:t>
      </w:r>
      <w:r>
        <w:rPr>
          <w:rFonts w:ascii="宋体" w:cs="宋体"/>
          <w:szCs w:val="21"/>
          <w:lang w:val="de-DE"/>
        </w:rPr>
        <w:fldChar w:fldCharType="end"/>
      </w:r>
      <w:r>
        <w:rPr>
          <w:rFonts w:hint="eastAsia" w:ascii="宋体" w:cs="宋体"/>
          <w:szCs w:val="21"/>
          <w:lang w:val="de-DE"/>
        </w:rPr>
        <w:t>）的过程。</w:t>
      </w:r>
    </w:p>
    <w:p w14:paraId="443E1392">
      <w:pPr>
        <w:ind w:left="915" w:leftChars="200" w:hanging="495" w:hangingChars="275"/>
        <w:rPr>
          <w:rFonts w:ascii="宋体" w:hAnsi="宋体" w:cs="宋体"/>
          <w:sz w:val="18"/>
          <w:szCs w:val="18"/>
          <w:lang w:val="de-DE"/>
        </w:rPr>
      </w:pPr>
      <w:r>
        <w:rPr>
          <w:rFonts w:hint="eastAsia" w:ascii="黑体" w:hAnsi="黑体" w:eastAsia="黑体" w:cs="宋体"/>
          <w:sz w:val="18"/>
          <w:szCs w:val="18"/>
          <w:lang w:val="de-DE"/>
        </w:rPr>
        <w:t>注1：</w:t>
      </w:r>
      <w:r>
        <w:rPr>
          <w:rFonts w:hint="eastAsia" w:ascii="宋体" w:hAnsi="宋体" w:cs="宋体"/>
          <w:sz w:val="18"/>
          <w:szCs w:val="18"/>
          <w:lang w:val="de-DE"/>
        </w:rPr>
        <w:t>风险处置可能涉及如下方面：</w:t>
      </w:r>
    </w:p>
    <w:p w14:paraId="499DEA6B">
      <w:pPr>
        <w:pStyle w:val="36"/>
        <w:ind w:left="1305" w:leftChars="45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通过决定不启动或不继续进行引发风险的活动来规避风险；</w:t>
      </w:r>
    </w:p>
    <w:p w14:paraId="3D0ABD96">
      <w:pPr>
        <w:pStyle w:val="36"/>
        <w:ind w:left="1305" w:leftChars="45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承担或增加风险</w:t>
      </w:r>
      <w:r>
        <w:rPr>
          <w:rFonts w:hint="eastAsia" w:ascii="Times New Roman"/>
          <w:sz w:val="18"/>
          <w:szCs w:val="18"/>
          <w:lang w:val="de-DE"/>
        </w:rPr>
        <w:t>以</w:t>
      </w:r>
      <w:r>
        <w:rPr>
          <w:rFonts w:hint="eastAsia" w:hAnsi="宋体"/>
          <w:sz w:val="18"/>
          <w:szCs w:val="18"/>
          <w:lang w:val="de-DE"/>
        </w:rPr>
        <w:t>追求机会；</w:t>
      </w:r>
    </w:p>
    <w:p w14:paraId="167F7CBC">
      <w:pPr>
        <w:pStyle w:val="36"/>
        <w:ind w:left="1305" w:leftChars="45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消除风险源；</w:t>
      </w:r>
    </w:p>
    <w:p w14:paraId="2CCD7AAF">
      <w:pPr>
        <w:pStyle w:val="36"/>
        <w:ind w:left="1305" w:leftChars="45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改变可能性；</w:t>
      </w:r>
    </w:p>
    <w:p w14:paraId="009E5983">
      <w:pPr>
        <w:pStyle w:val="36"/>
        <w:ind w:left="1305" w:leftChars="45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改变后果；</w:t>
      </w:r>
    </w:p>
    <w:p w14:paraId="66E9F7A3">
      <w:pPr>
        <w:pStyle w:val="36"/>
        <w:ind w:left="1305" w:leftChars="45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与另外一方或多方共担风险（包括合同和风险融资）；</w:t>
      </w:r>
    </w:p>
    <w:p w14:paraId="327DE9A4">
      <w:pPr>
        <w:pStyle w:val="36"/>
        <w:ind w:left="1305" w:leftChars="450" w:hanging="360" w:hangingChars="200"/>
        <w:rPr>
          <w:rFonts w:hAnsi="宋体"/>
          <w:sz w:val="18"/>
          <w:szCs w:val="18"/>
          <w:lang w:val="de-DE"/>
        </w:rPr>
      </w:pPr>
      <w:r>
        <w:rPr>
          <w:rFonts w:ascii="Times New Roman"/>
          <w:sz w:val="18"/>
          <w:szCs w:val="18"/>
          <w:lang w:val="de-DE"/>
        </w:rPr>
        <w:t>——</w:t>
      </w:r>
      <w:r>
        <w:rPr>
          <w:rFonts w:hint="eastAsia" w:hAnsi="宋体"/>
          <w:sz w:val="18"/>
          <w:szCs w:val="18"/>
          <w:lang w:val="de-DE"/>
        </w:rPr>
        <w:t>有根据地选择保留风险。</w:t>
      </w:r>
    </w:p>
    <w:p w14:paraId="0195E2E6">
      <w:pPr>
        <w:ind w:left="915" w:leftChars="200" w:hanging="495" w:hangingChars="275"/>
        <w:rPr>
          <w:rFonts w:ascii="宋体" w:cs="宋体"/>
          <w:sz w:val="18"/>
          <w:szCs w:val="18"/>
          <w:lang w:val="de-DE"/>
        </w:rPr>
      </w:pPr>
      <w:r>
        <w:rPr>
          <w:rFonts w:hint="eastAsia" w:ascii="黑体" w:hAnsi="黑体" w:eastAsia="黑体" w:cs="宋体"/>
          <w:sz w:val="18"/>
          <w:szCs w:val="18"/>
          <w:lang w:val="de-DE"/>
        </w:rPr>
        <w:t>注2：</w:t>
      </w:r>
      <w:r>
        <w:rPr>
          <w:rFonts w:hint="eastAsia" w:ascii="宋体" w:hAnsi="宋体" w:cs="宋体"/>
          <w:sz w:val="18"/>
          <w:szCs w:val="18"/>
          <w:lang w:val="de-DE"/>
        </w:rPr>
        <w:t>处理负面后果的风险处置有时称为“风险缓解”、“风险消除”、“风险防范”和“风险降低”。</w:t>
      </w:r>
    </w:p>
    <w:p w14:paraId="75A46986">
      <w:pPr>
        <w:ind w:left="915" w:leftChars="200" w:hanging="495" w:hangingChars="275"/>
        <w:rPr>
          <w:rFonts w:ascii="宋体" w:cs="宋体"/>
          <w:sz w:val="18"/>
          <w:szCs w:val="18"/>
          <w:lang w:val="de-DE"/>
        </w:rPr>
      </w:pPr>
      <w:r>
        <w:rPr>
          <w:rFonts w:hint="eastAsia" w:ascii="黑体" w:hAnsi="黑体" w:eastAsia="黑体" w:cs="宋体"/>
          <w:sz w:val="18"/>
          <w:szCs w:val="18"/>
          <w:lang w:val="de-DE"/>
        </w:rPr>
        <w:t>注3：</w:t>
      </w:r>
      <w:r>
        <w:rPr>
          <w:rFonts w:hint="eastAsia" w:ascii="宋体" w:hAnsi="宋体" w:cs="宋体"/>
          <w:sz w:val="18"/>
          <w:szCs w:val="18"/>
          <w:lang w:val="de-DE"/>
        </w:rPr>
        <w:t>风险处置可能产生新的风险（</w:t>
      </w:r>
      <w:r>
        <w:rPr>
          <w:rFonts w:ascii="宋体" w:hAnsi="宋体" w:cs="宋体"/>
          <w:sz w:val="18"/>
          <w:szCs w:val="18"/>
          <w:lang w:val="de-DE"/>
        </w:rPr>
        <w:fldChar w:fldCharType="begin"/>
      </w:r>
      <w:r>
        <w:rPr>
          <w:rFonts w:ascii="宋体" w:hAnsi="宋体" w:cs="宋体"/>
          <w:sz w:val="18"/>
          <w:szCs w:val="18"/>
          <w:lang w:val="de-DE"/>
        </w:rPr>
        <w:instrText xml:space="preserve"> </w:instrText>
      </w:r>
      <w:r>
        <w:rPr>
          <w:rFonts w:hint="eastAsia" w:ascii="宋体" w:hAnsi="宋体" w:cs="宋体"/>
          <w:sz w:val="18"/>
          <w:szCs w:val="18"/>
          <w:lang w:val="de-DE"/>
        </w:rPr>
        <w:instrText xml:space="preserve">REF _Ref90916198 \r \h</w:instrText>
      </w:r>
      <w:r>
        <w:rPr>
          <w:rFonts w:ascii="宋体" w:hAnsi="宋体" w:cs="宋体"/>
          <w:sz w:val="18"/>
          <w:szCs w:val="18"/>
          <w:lang w:val="de-DE"/>
        </w:rPr>
        <w:instrText xml:space="preserve"> </w:instrText>
      </w:r>
      <w:r>
        <w:rPr>
          <w:rFonts w:ascii="宋体" w:hAnsi="宋体" w:cs="宋体"/>
          <w:sz w:val="18"/>
          <w:szCs w:val="18"/>
          <w:lang w:val="de-DE"/>
        </w:rPr>
        <w:fldChar w:fldCharType="separate"/>
      </w:r>
      <w:r>
        <w:rPr>
          <w:rFonts w:ascii="宋体" w:hAnsi="宋体" w:cs="宋体"/>
          <w:sz w:val="18"/>
          <w:szCs w:val="18"/>
          <w:lang w:val="de-DE"/>
        </w:rPr>
        <w:t>3.</w:t>
      </w:r>
      <w:r>
        <w:rPr>
          <w:rFonts w:hint="eastAsia" w:ascii="宋体" w:hAnsi="宋体" w:cs="宋体"/>
          <w:sz w:val="18"/>
          <w:szCs w:val="18"/>
        </w:rPr>
        <w:t>10</w:t>
      </w:r>
      <w:r>
        <w:rPr>
          <w:rFonts w:ascii="宋体" w:hAnsi="宋体" w:cs="宋体"/>
          <w:sz w:val="18"/>
          <w:szCs w:val="18"/>
          <w:lang w:val="de-DE"/>
        </w:rPr>
        <w:fldChar w:fldCharType="end"/>
      </w:r>
      <w:r>
        <w:rPr>
          <w:rFonts w:hint="eastAsia" w:ascii="宋体" w:hAnsi="宋体" w:cs="宋体"/>
          <w:sz w:val="18"/>
          <w:szCs w:val="18"/>
          <w:lang w:val="de-DE"/>
        </w:rPr>
        <w:t>）或改变现有风险。</w:t>
      </w:r>
    </w:p>
    <w:p w14:paraId="2EA3FCBE">
      <w:pPr>
        <w:pStyle w:val="36"/>
        <w:rPr>
          <w:rFonts w:hAnsi="宋体" w:cs="宋体"/>
          <w:sz w:val="18"/>
          <w:szCs w:val="18"/>
        </w:rPr>
      </w:pPr>
      <w:r>
        <w:rPr>
          <w:rFonts w:hAnsi="宋体" w:cs="宋体"/>
          <w:szCs w:val="21"/>
          <w:lang w:val="de-DE"/>
        </w:rPr>
        <w:t>[</w:t>
      </w:r>
      <w:r>
        <w:rPr>
          <w:rFonts w:hint="eastAsia" w:hAnsi="宋体" w:cs="宋体"/>
          <w:szCs w:val="21"/>
          <w:lang w:val="de-DE"/>
        </w:rPr>
        <w:t>来源：</w:t>
      </w:r>
      <w:r>
        <w:rPr>
          <w:rFonts w:hint="eastAsia" w:hAnsi="宋体" w:cs="宋体"/>
          <w:szCs w:val="21"/>
          <w:lang w:eastAsia="zh-CN"/>
        </w:rPr>
        <w:t>GB/T 29246—2023</w:t>
      </w:r>
      <w:r>
        <w:rPr>
          <w:rFonts w:hint="eastAsia" w:cs="宋体"/>
          <w:szCs w:val="21"/>
          <w:lang w:val="de-DE"/>
        </w:rPr>
        <w:t>，</w:t>
      </w:r>
      <w:r>
        <w:rPr>
          <w:rFonts w:cs="宋体"/>
          <w:szCs w:val="21"/>
          <w:lang w:val="de-DE"/>
        </w:rPr>
        <w:t>3.</w:t>
      </w:r>
      <w:r>
        <w:rPr>
          <w:rFonts w:hint="eastAsia" w:cs="宋体"/>
          <w:szCs w:val="21"/>
        </w:rPr>
        <w:t>72]</w:t>
      </w:r>
    </w:p>
    <w:p w14:paraId="28C55165">
      <w:pPr>
        <w:numPr>
          <w:ilvl w:val="0"/>
          <w:numId w:val="20"/>
        </w:numPr>
        <w:spacing w:line="300" w:lineRule="auto"/>
        <w:rPr>
          <w:rFonts w:hAnsi="宋体"/>
          <w:szCs w:val="21"/>
        </w:rPr>
      </w:pPr>
    </w:p>
    <w:p w14:paraId="21F8600A">
      <w:pPr>
        <w:pStyle w:val="36"/>
        <w:rPr>
          <w:rFonts w:ascii="黑体" w:hAnsi="黑体" w:eastAsia="黑体"/>
          <w:bCs/>
          <w:szCs w:val="21"/>
          <w:lang w:val="de-DE"/>
        </w:rPr>
      </w:pPr>
      <w:r>
        <w:rPr>
          <w:rFonts w:hint="eastAsia" w:ascii="黑体" w:hAnsi="黑体" w:eastAsia="黑体"/>
          <w:bCs/>
          <w:szCs w:val="21"/>
          <w:lang w:val="de-DE"/>
        </w:rPr>
        <w:t>规则　rule</w:t>
      </w:r>
    </w:p>
    <w:p w14:paraId="50A48C44">
      <w:pPr>
        <w:pStyle w:val="257"/>
        <w:ind w:firstLine="420"/>
      </w:pPr>
      <w:r>
        <w:rPr>
          <w:rFonts w:ascii="Times New Roman"/>
        </w:rPr>
        <w:t>组织所接受的，表明其期望</w:t>
      </w:r>
      <w:r>
        <w:rPr>
          <w:rFonts w:hint="eastAsia" w:ascii="Times New Roman"/>
        </w:rPr>
        <w:t>要求</w:t>
      </w:r>
      <w:r>
        <w:rPr>
          <w:rFonts w:ascii="Times New Roman"/>
        </w:rPr>
        <w:t>做什么、允许什么和禁止什么的原则或指令</w:t>
      </w:r>
      <w:r>
        <w:rPr>
          <w:rFonts w:hint="eastAsia" w:hAnsi="宋体"/>
        </w:rPr>
        <w:t>。</w:t>
      </w:r>
    </w:p>
    <w:p w14:paraId="45FADED8">
      <w:pPr>
        <w:pStyle w:val="257"/>
        <w:ind w:firstLine="420"/>
        <w:rPr>
          <w:rFonts w:hAnsi="宋体"/>
        </w:rPr>
      </w:pPr>
      <w:r>
        <w:rPr>
          <w:rFonts w:hint="eastAsia" w:hAnsi="宋体"/>
        </w:rPr>
        <w:t>[来源：GB/T 22081—2024，3.1.32，有修改]</w:t>
      </w:r>
    </w:p>
    <w:p w14:paraId="76CDCED5">
      <w:pPr>
        <w:pStyle w:val="69"/>
        <w:numPr>
          <w:ilvl w:val="1"/>
          <w:numId w:val="19"/>
        </w:numPr>
        <w:spacing w:before="312" w:after="312"/>
        <w:ind w:left="0"/>
      </w:pPr>
      <w:bookmarkStart w:id="187" w:name="_Toc22690"/>
      <w:bookmarkStart w:id="188" w:name="_Toc496168556"/>
      <w:bookmarkStart w:id="189" w:name="_Toc12164"/>
      <w:bookmarkStart w:id="190" w:name="_Toc434010445"/>
      <w:r>
        <w:rPr>
          <w:rFonts w:hint="eastAsia"/>
        </w:rPr>
        <w:t>原则</w:t>
      </w:r>
      <w:bookmarkEnd w:id="187"/>
      <w:bookmarkEnd w:id="188"/>
      <w:bookmarkEnd w:id="189"/>
      <w:bookmarkEnd w:id="190"/>
    </w:p>
    <w:p w14:paraId="34597B9E">
      <w:pPr>
        <w:pStyle w:val="36"/>
        <w:rPr>
          <w:rFonts w:hAnsi="宋体"/>
          <w:bCs/>
          <w:szCs w:val="21"/>
        </w:rPr>
      </w:pPr>
      <w:r>
        <w:rPr>
          <w:rFonts w:hint="eastAsia" w:hAnsi="宋体"/>
          <w:bCs/>
          <w:szCs w:val="21"/>
        </w:rPr>
        <w:t>GB/T 27021.1</w:t>
      </w:r>
      <w:r>
        <w:rPr>
          <w:rFonts w:hint="eastAsia"/>
        </w:rPr>
        <w:t>—</w:t>
      </w:r>
      <w:r>
        <w:rPr>
          <w:rFonts w:hint="eastAsia" w:hAnsi="宋体"/>
          <w:bCs/>
          <w:szCs w:val="21"/>
        </w:rPr>
        <w:t>201</w:t>
      </w:r>
      <w:r>
        <w:rPr>
          <w:rFonts w:hAnsi="宋体"/>
          <w:bCs/>
          <w:szCs w:val="21"/>
        </w:rPr>
        <w:t>7</w:t>
      </w:r>
      <w:r>
        <w:rPr>
          <w:rFonts w:hint="eastAsia" w:hAnsi="宋体"/>
          <w:bCs/>
          <w:szCs w:val="21"/>
        </w:rPr>
        <w:t>第4章的原则适用。</w:t>
      </w:r>
    </w:p>
    <w:p w14:paraId="34C3504F">
      <w:pPr>
        <w:pStyle w:val="69"/>
        <w:numPr>
          <w:ilvl w:val="1"/>
          <w:numId w:val="19"/>
        </w:numPr>
        <w:spacing w:before="312" w:after="312"/>
        <w:ind w:left="0"/>
      </w:pPr>
      <w:bookmarkStart w:id="191" w:name="_Toc2720"/>
      <w:bookmarkStart w:id="192" w:name="_Toc434010446"/>
      <w:bookmarkStart w:id="193" w:name="_Toc20205"/>
      <w:bookmarkStart w:id="194" w:name="_Toc496168557"/>
      <w:r>
        <w:rPr>
          <w:rFonts w:hint="eastAsia"/>
        </w:rPr>
        <w:t>通用要求</w:t>
      </w:r>
      <w:bookmarkEnd w:id="191"/>
      <w:bookmarkEnd w:id="192"/>
      <w:bookmarkEnd w:id="193"/>
      <w:bookmarkEnd w:id="194"/>
    </w:p>
    <w:p w14:paraId="0E9FE8A3">
      <w:pPr>
        <w:pStyle w:val="66"/>
        <w:numPr>
          <w:ilvl w:val="2"/>
          <w:numId w:val="19"/>
        </w:numPr>
        <w:spacing w:before="156" w:after="156"/>
      </w:pPr>
      <w:bookmarkStart w:id="195" w:name="_Toc434010447"/>
      <w:bookmarkStart w:id="196" w:name="_Toc13147"/>
      <w:bookmarkStart w:id="197" w:name="_Toc496168558"/>
      <w:bookmarkStart w:id="198" w:name="_Toc30100"/>
      <w:r>
        <w:rPr>
          <w:rFonts w:hint="eastAsia"/>
        </w:rPr>
        <w:t>法律与合同事宜</w:t>
      </w:r>
      <w:bookmarkEnd w:id="195"/>
      <w:bookmarkEnd w:id="196"/>
      <w:bookmarkEnd w:id="197"/>
      <w:bookmarkEnd w:id="198"/>
    </w:p>
    <w:p w14:paraId="1D3A5503">
      <w:pPr>
        <w:pStyle w:val="36"/>
        <w:rPr>
          <w:rFonts w:hAnsi="宋体"/>
          <w:bCs/>
          <w:szCs w:val="21"/>
        </w:rPr>
      </w:pPr>
      <w:r>
        <w:rPr>
          <w:rFonts w:hint="eastAsia" w:hAnsi="宋体"/>
          <w:bCs/>
          <w:szCs w:val="21"/>
        </w:rPr>
        <w:t>GB/T 27021.1</w:t>
      </w:r>
      <w:r>
        <w:rPr>
          <w:rFonts w:hint="eastAsia"/>
        </w:rPr>
        <w:t>—</w:t>
      </w:r>
      <w:r>
        <w:rPr>
          <w:rFonts w:hint="eastAsia" w:hAnsi="宋体"/>
          <w:bCs/>
          <w:szCs w:val="21"/>
        </w:rPr>
        <w:t>201</w:t>
      </w:r>
      <w:r>
        <w:rPr>
          <w:rFonts w:hAnsi="宋体"/>
          <w:bCs/>
          <w:szCs w:val="21"/>
        </w:rPr>
        <w:t>7</w:t>
      </w:r>
      <w:r>
        <w:rPr>
          <w:rFonts w:hint="eastAsia" w:hAnsi="宋体"/>
          <w:bCs/>
          <w:szCs w:val="21"/>
        </w:rPr>
        <w:t>中5.1的要求适用。</w:t>
      </w:r>
    </w:p>
    <w:p w14:paraId="68044C4E">
      <w:pPr>
        <w:pStyle w:val="66"/>
        <w:numPr>
          <w:ilvl w:val="2"/>
          <w:numId w:val="19"/>
        </w:numPr>
        <w:spacing w:before="156" w:after="156"/>
      </w:pPr>
      <w:bookmarkStart w:id="199" w:name="_Toc25174"/>
      <w:bookmarkStart w:id="200" w:name="_Toc11285"/>
      <w:bookmarkStart w:id="201" w:name="_Toc496168559"/>
      <w:bookmarkStart w:id="202" w:name="_Toc434010448"/>
      <w:r>
        <w:rPr>
          <w:rFonts w:hint="eastAsia"/>
        </w:rPr>
        <w:t>公正性的管理</w:t>
      </w:r>
      <w:bookmarkEnd w:id="199"/>
      <w:bookmarkEnd w:id="200"/>
      <w:bookmarkEnd w:id="201"/>
      <w:bookmarkEnd w:id="202"/>
    </w:p>
    <w:p w14:paraId="3C937354">
      <w:pPr>
        <w:pStyle w:val="70"/>
        <w:numPr>
          <w:ilvl w:val="0"/>
          <w:numId w:val="0"/>
        </w:numPr>
        <w:spacing w:before="156" w:after="156"/>
        <w:rPr>
          <w:rFonts w:hAnsi="黑体"/>
        </w:rPr>
      </w:pPr>
      <w:r>
        <w:rPr>
          <w:rFonts w:hint="eastAsia" w:hAnsi="黑体"/>
        </w:rPr>
        <w:t xml:space="preserve">5.2.1 </w:t>
      </w:r>
      <w:r>
        <w:rPr>
          <w:rFonts w:hint="eastAsia" w:hAnsi="黑体"/>
          <w:lang w:val="en-US" w:eastAsia="zh-CN"/>
        </w:rPr>
        <w:t xml:space="preserve"> </w:t>
      </w:r>
      <w:r>
        <w:rPr>
          <w:rFonts w:hint="eastAsia" w:hAnsi="黑体"/>
        </w:rPr>
        <w:t>总则</w:t>
      </w:r>
    </w:p>
    <w:p w14:paraId="2AA00045">
      <w:pPr>
        <w:pStyle w:val="36"/>
        <w:rPr>
          <w:rFonts w:hAnsi="宋体"/>
          <w:szCs w:val="21"/>
          <w:lang w:val="de-DE"/>
        </w:rPr>
      </w:pPr>
      <w:r>
        <w:rPr>
          <w:rFonts w:hint="eastAsia" w:hAnsi="宋体"/>
          <w:szCs w:val="21"/>
          <w:lang w:val="de-DE"/>
        </w:rPr>
        <w:t>GB/T 27021.1</w:t>
      </w:r>
      <w:r>
        <w:rPr>
          <w:rFonts w:hint="eastAsia"/>
        </w:rPr>
        <w:t>—</w:t>
      </w:r>
      <w:r>
        <w:rPr>
          <w:rFonts w:hint="eastAsia" w:hAnsi="宋体"/>
          <w:szCs w:val="21"/>
          <w:lang w:val="de-DE"/>
        </w:rPr>
        <w:t>201</w:t>
      </w:r>
      <w:r>
        <w:rPr>
          <w:rFonts w:hAnsi="宋体"/>
          <w:szCs w:val="21"/>
          <w:lang w:val="de-DE"/>
        </w:rPr>
        <w:t>7</w:t>
      </w:r>
      <w:r>
        <w:rPr>
          <w:rFonts w:hint="eastAsia" w:hAnsi="宋体"/>
          <w:szCs w:val="21"/>
          <w:lang w:val="de-DE"/>
        </w:rPr>
        <w:t>中5.2的要求适用。并且，</w:t>
      </w:r>
      <w:r>
        <w:rPr>
          <w:rFonts w:hint="eastAsia" w:hAnsi="宋体"/>
          <w:szCs w:val="21"/>
        </w:rPr>
        <w:t>5.2.2的</w:t>
      </w:r>
      <w:r>
        <w:rPr>
          <w:rFonts w:hint="eastAsia" w:hAnsi="宋体"/>
          <w:szCs w:val="21"/>
          <w:lang w:val="de-DE"/>
        </w:rPr>
        <w:t>要求和指南适用。</w:t>
      </w:r>
    </w:p>
    <w:p w14:paraId="5DCCD963">
      <w:pPr>
        <w:pStyle w:val="70"/>
        <w:numPr>
          <w:ilvl w:val="0"/>
          <w:numId w:val="0"/>
        </w:numPr>
        <w:spacing w:before="156" w:after="156"/>
        <w:rPr>
          <w:rFonts w:hAnsi="黑体"/>
          <w:lang w:val="de-DE"/>
        </w:rPr>
      </w:pPr>
      <w:r>
        <w:rPr>
          <w:rFonts w:hint="eastAsia" w:hAnsi="黑体"/>
        </w:rPr>
        <w:t xml:space="preserve">5.2.2 </w:t>
      </w:r>
      <w:r>
        <w:rPr>
          <w:rFonts w:hint="eastAsia" w:hAnsi="黑体"/>
          <w:lang w:val="en-US" w:eastAsia="zh-CN"/>
        </w:rPr>
        <w:t xml:space="preserve"> </w:t>
      </w:r>
      <w:r>
        <w:rPr>
          <w:rFonts w:hint="eastAsia" w:hAnsi="黑体"/>
          <w:lang w:val="de-DE"/>
        </w:rPr>
        <w:t>利益冲突</w:t>
      </w:r>
    </w:p>
    <w:p w14:paraId="0076C0CE">
      <w:pPr>
        <w:pStyle w:val="36"/>
        <w:rPr>
          <w:rFonts w:hAnsi="宋体"/>
          <w:szCs w:val="21"/>
          <w:lang w:val="de-DE"/>
        </w:rPr>
      </w:pPr>
      <w:r>
        <w:rPr>
          <w:rFonts w:hint="eastAsia" w:hAnsi="宋体"/>
          <w:szCs w:val="21"/>
          <w:lang w:val="de-DE"/>
        </w:rPr>
        <w:t>认证机构</w:t>
      </w:r>
      <w:r>
        <w:rPr>
          <w:rFonts w:hint="eastAsia" w:hAnsi="宋体"/>
          <w:szCs w:val="21"/>
        </w:rPr>
        <w:t>可</w:t>
      </w:r>
      <w:r>
        <w:rPr>
          <w:rFonts w:hint="eastAsia" w:hAnsi="宋体"/>
          <w:szCs w:val="21"/>
          <w:lang w:val="de-DE"/>
        </w:rPr>
        <w:t>在认证审核和监督审核过程中</w:t>
      </w:r>
      <w:r>
        <w:rPr>
          <w:rFonts w:hint="eastAsia" w:hAnsi="宋体"/>
          <w:szCs w:val="21"/>
          <w:lang w:val="en-US" w:eastAsia="zh-CN"/>
        </w:rPr>
        <w:t>开展</w:t>
      </w:r>
      <w:r>
        <w:rPr>
          <w:rFonts w:hint="eastAsia" w:hAnsi="宋体"/>
          <w:szCs w:val="21"/>
          <w:lang w:val="de-DE"/>
        </w:rPr>
        <w:t>增值活动，</w:t>
      </w:r>
      <w:r>
        <w:rPr>
          <w:rFonts w:hint="eastAsia" w:hAnsi="宋体"/>
          <w:szCs w:val="21"/>
        </w:rPr>
        <w:t>这不会被</w:t>
      </w:r>
      <w:r>
        <w:rPr>
          <w:rFonts w:hint="eastAsia" w:hAnsi="宋体"/>
          <w:szCs w:val="21"/>
          <w:lang w:val="en-US" w:eastAsia="zh-CN"/>
        </w:rPr>
        <w:t>认为是</w:t>
      </w:r>
      <w:r>
        <w:rPr>
          <w:rFonts w:hint="eastAsia" w:hAnsi="宋体"/>
          <w:szCs w:val="21"/>
        </w:rPr>
        <w:t>咨询或存在潜在的利益冲突。</w:t>
      </w:r>
      <w:r>
        <w:rPr>
          <w:rFonts w:hint="eastAsia" w:hAnsi="宋体"/>
          <w:szCs w:val="21"/>
          <w:lang w:val="de-DE"/>
        </w:rPr>
        <w:t>例如，在审核过程中，当改进机会明显时识别改进机会但不推荐具体的解决方案。</w:t>
      </w:r>
    </w:p>
    <w:p w14:paraId="3AA18431">
      <w:pPr>
        <w:pStyle w:val="36"/>
        <w:rPr>
          <w:rFonts w:hAnsi="宋体"/>
          <w:szCs w:val="21"/>
          <w:lang w:val="de-DE"/>
        </w:rPr>
      </w:pPr>
      <w:r>
        <w:rPr>
          <w:rFonts w:hint="eastAsia" w:hAnsi="宋体"/>
          <w:szCs w:val="21"/>
          <w:lang w:val="de-DE"/>
        </w:rPr>
        <w:t>认证</w:t>
      </w:r>
      <w:r>
        <w:rPr>
          <w:rFonts w:hint="eastAsia" w:hAnsi="宋体"/>
          <w:szCs w:val="21"/>
        </w:rPr>
        <w:t>机构</w:t>
      </w:r>
      <w:r>
        <w:rPr>
          <w:rFonts w:hint="eastAsia" w:hAnsi="宋体"/>
          <w:szCs w:val="21"/>
          <w:lang w:val="de-DE"/>
        </w:rPr>
        <w:t>不应</w:t>
      </w:r>
      <w:r>
        <w:rPr>
          <w:rFonts w:hint="eastAsia" w:hAnsi="宋体"/>
          <w:szCs w:val="21"/>
          <w:lang w:val="en-US" w:eastAsia="zh-CN"/>
        </w:rPr>
        <w:t>代表客户对其申请</w:t>
      </w:r>
      <w:r>
        <w:rPr>
          <w:rFonts w:hint="eastAsia" w:hAnsi="宋体"/>
          <w:szCs w:val="21"/>
          <w:lang w:val="de-DE"/>
        </w:rPr>
        <w:t>认证的ISMS</w:t>
      </w:r>
      <w:r>
        <w:rPr>
          <w:rFonts w:hint="eastAsia" w:hAnsi="宋体"/>
          <w:szCs w:val="21"/>
          <w:lang w:val="en-US" w:eastAsia="zh-CN"/>
        </w:rPr>
        <w:t>实施</w:t>
      </w:r>
      <w:r>
        <w:rPr>
          <w:rFonts w:hint="eastAsia" w:hAnsi="宋体"/>
          <w:szCs w:val="21"/>
          <w:lang w:val="de-DE"/>
        </w:rPr>
        <w:t>内部</w:t>
      </w:r>
      <w:r>
        <w:rPr>
          <w:rFonts w:hint="eastAsia" w:hAnsi="宋体"/>
          <w:szCs w:val="21"/>
          <w:lang w:val="de-DE" w:eastAsia="zh-CN"/>
        </w:rPr>
        <w:t>的</w:t>
      </w:r>
      <w:r>
        <w:rPr>
          <w:rFonts w:hint="eastAsia" w:hAnsi="宋体"/>
          <w:szCs w:val="21"/>
          <w:lang w:val="de-DE"/>
        </w:rPr>
        <w:t>信息安全评审。此外，认证机构应独立于提供ISMS内部审核的机构（包括任何个人）。</w:t>
      </w:r>
    </w:p>
    <w:p w14:paraId="49373CEF">
      <w:pPr>
        <w:pStyle w:val="66"/>
        <w:numPr>
          <w:ilvl w:val="2"/>
          <w:numId w:val="19"/>
        </w:numPr>
        <w:spacing w:before="156" w:after="156"/>
      </w:pPr>
      <w:bookmarkStart w:id="203" w:name="_Toc27620"/>
      <w:bookmarkStart w:id="204" w:name="_Toc434010449"/>
      <w:bookmarkStart w:id="205" w:name="_Toc7174"/>
      <w:bookmarkStart w:id="206" w:name="_Toc496168560"/>
      <w:r>
        <w:rPr>
          <w:rFonts w:hint="eastAsia"/>
        </w:rPr>
        <w:t>责任和财力</w:t>
      </w:r>
      <w:bookmarkEnd w:id="203"/>
      <w:bookmarkEnd w:id="204"/>
      <w:bookmarkEnd w:id="205"/>
      <w:bookmarkEnd w:id="206"/>
    </w:p>
    <w:p w14:paraId="13D88F5B">
      <w:pPr>
        <w:pStyle w:val="36"/>
        <w:rPr>
          <w:rFonts w:hAnsi="宋体"/>
          <w:szCs w:val="21"/>
        </w:rPr>
      </w:pPr>
      <w:r>
        <w:rPr>
          <w:rFonts w:hint="eastAsia" w:hAnsi="宋体"/>
          <w:szCs w:val="21"/>
          <w:lang w:val="de-DE"/>
        </w:rPr>
        <w:t>GB/T 27021.1</w:t>
      </w:r>
      <w:r>
        <w:rPr>
          <w:rFonts w:hint="eastAsia"/>
        </w:rPr>
        <w:t>—</w:t>
      </w:r>
      <w:r>
        <w:rPr>
          <w:rFonts w:hint="eastAsia" w:hAnsi="宋体"/>
          <w:szCs w:val="21"/>
          <w:lang w:val="de-DE"/>
        </w:rPr>
        <w:t>201</w:t>
      </w:r>
      <w:r>
        <w:rPr>
          <w:rFonts w:hAnsi="宋体"/>
          <w:szCs w:val="21"/>
          <w:lang w:val="de-DE"/>
        </w:rPr>
        <w:t>7</w:t>
      </w:r>
      <w:r>
        <w:rPr>
          <w:rFonts w:hint="eastAsia" w:hAnsi="宋体"/>
          <w:szCs w:val="21"/>
          <w:lang w:val="de-DE"/>
        </w:rPr>
        <w:t>中5.3的要求适用。</w:t>
      </w:r>
    </w:p>
    <w:p w14:paraId="70682E41">
      <w:pPr>
        <w:pStyle w:val="69"/>
        <w:numPr>
          <w:ilvl w:val="1"/>
          <w:numId w:val="19"/>
        </w:numPr>
        <w:spacing w:before="312" w:after="312"/>
        <w:ind w:left="0"/>
      </w:pPr>
      <w:bookmarkStart w:id="207" w:name="_Toc434010450"/>
      <w:bookmarkStart w:id="208" w:name="_Toc496168561"/>
      <w:bookmarkStart w:id="209" w:name="_Toc5547"/>
      <w:bookmarkStart w:id="210" w:name="_Toc6467"/>
      <w:r>
        <w:rPr>
          <w:rFonts w:hint="eastAsia"/>
        </w:rPr>
        <w:t>结构要求</w:t>
      </w:r>
      <w:bookmarkEnd w:id="207"/>
      <w:bookmarkEnd w:id="208"/>
      <w:bookmarkEnd w:id="209"/>
      <w:bookmarkEnd w:id="210"/>
    </w:p>
    <w:p w14:paraId="61FECEA8">
      <w:pPr>
        <w:pStyle w:val="36"/>
        <w:rPr>
          <w:rFonts w:hAnsi="宋体"/>
          <w:szCs w:val="21"/>
        </w:rPr>
      </w:pPr>
      <w:r>
        <w:rPr>
          <w:rFonts w:hint="eastAsia" w:hAnsi="宋体"/>
          <w:szCs w:val="21"/>
          <w:lang w:val="de-DE"/>
        </w:rPr>
        <w:t>GB/T 27021.1</w:t>
      </w:r>
      <w:r>
        <w:rPr>
          <w:rFonts w:hint="eastAsia"/>
        </w:rPr>
        <w:t>—</w:t>
      </w:r>
      <w:r>
        <w:rPr>
          <w:rFonts w:hint="eastAsia" w:hAnsi="宋体"/>
          <w:szCs w:val="21"/>
          <w:lang w:val="de-DE"/>
        </w:rPr>
        <w:t>201</w:t>
      </w:r>
      <w:r>
        <w:rPr>
          <w:rFonts w:hAnsi="宋体"/>
          <w:szCs w:val="21"/>
          <w:lang w:val="de-DE"/>
        </w:rPr>
        <w:t>7</w:t>
      </w:r>
      <w:r>
        <w:rPr>
          <w:rFonts w:hint="eastAsia" w:hAnsi="宋体"/>
          <w:szCs w:val="21"/>
          <w:lang w:val="de-DE"/>
        </w:rPr>
        <w:t>第6章的要求适用。</w:t>
      </w:r>
    </w:p>
    <w:p w14:paraId="525D41C8">
      <w:pPr>
        <w:pStyle w:val="69"/>
        <w:numPr>
          <w:ilvl w:val="1"/>
          <w:numId w:val="19"/>
        </w:numPr>
        <w:spacing w:before="312" w:after="312"/>
        <w:ind w:left="0"/>
      </w:pPr>
      <w:bookmarkStart w:id="211" w:name="_Toc496168562"/>
      <w:bookmarkStart w:id="212" w:name="_Toc434010451"/>
      <w:bookmarkStart w:id="213" w:name="_Toc26636"/>
      <w:bookmarkStart w:id="214" w:name="_Toc25394"/>
      <w:r>
        <w:rPr>
          <w:rFonts w:hint="eastAsia"/>
        </w:rPr>
        <w:t>资源要求</w:t>
      </w:r>
      <w:bookmarkEnd w:id="211"/>
      <w:bookmarkEnd w:id="212"/>
      <w:bookmarkEnd w:id="213"/>
      <w:bookmarkEnd w:id="214"/>
    </w:p>
    <w:p w14:paraId="61BC91F2">
      <w:pPr>
        <w:pStyle w:val="66"/>
        <w:numPr>
          <w:ilvl w:val="2"/>
          <w:numId w:val="19"/>
        </w:numPr>
        <w:spacing w:before="156" w:after="156"/>
        <w:rPr>
          <w:rFonts w:hAnsi="黑体"/>
        </w:rPr>
      </w:pPr>
      <w:bookmarkStart w:id="215" w:name="_Toc32636"/>
      <w:bookmarkStart w:id="216" w:name="_Toc496168563"/>
      <w:bookmarkStart w:id="217" w:name="_Toc434010452"/>
      <w:bookmarkStart w:id="218" w:name="_Toc24350"/>
      <w:r>
        <w:rPr>
          <w:rFonts w:hint="eastAsia" w:hAnsi="黑体"/>
        </w:rPr>
        <w:t>人员能力</w:t>
      </w:r>
      <w:bookmarkEnd w:id="215"/>
      <w:bookmarkEnd w:id="216"/>
      <w:bookmarkEnd w:id="217"/>
      <w:bookmarkEnd w:id="218"/>
    </w:p>
    <w:p w14:paraId="7BB600CB">
      <w:pPr>
        <w:pStyle w:val="36"/>
        <w:ind w:firstLine="0" w:firstLineChars="0"/>
        <w:rPr>
          <w:rFonts w:ascii="黑体" w:hAnsi="黑体" w:eastAsia="黑体"/>
          <w:szCs w:val="21"/>
        </w:rPr>
      </w:pPr>
      <w:r>
        <w:rPr>
          <w:rFonts w:ascii="黑体" w:hAnsi="黑体" w:eastAsia="黑体"/>
          <w:szCs w:val="21"/>
        </w:rPr>
        <w:t xml:space="preserve">7.1.1 </w:t>
      </w:r>
      <w:r>
        <w:rPr>
          <w:rFonts w:hint="eastAsia" w:ascii="黑体" w:hAnsi="黑体" w:eastAsia="黑体"/>
          <w:szCs w:val="21"/>
          <w:lang w:val="en-US" w:eastAsia="zh-CN"/>
        </w:rPr>
        <w:t xml:space="preserve"> </w:t>
      </w:r>
      <w:r>
        <w:rPr>
          <w:rFonts w:ascii="黑体" w:hAnsi="黑体" w:eastAsia="黑体"/>
          <w:szCs w:val="21"/>
        </w:rPr>
        <w:t>总则</w:t>
      </w:r>
    </w:p>
    <w:p w14:paraId="409B78DB">
      <w:pPr>
        <w:pStyle w:val="36"/>
        <w:rPr>
          <w:rFonts w:hAnsi="宋体"/>
          <w:szCs w:val="21"/>
          <w:lang w:val="de-DE"/>
        </w:rPr>
      </w:pPr>
      <w:r>
        <w:rPr>
          <w:rFonts w:hint="eastAsia" w:hAnsi="宋体"/>
          <w:szCs w:val="21"/>
          <w:lang w:val="de-DE"/>
        </w:rPr>
        <w:t>GB/T 27021.1</w:t>
      </w:r>
      <w:r>
        <w:rPr>
          <w:rFonts w:hint="eastAsia"/>
        </w:rPr>
        <w:t>—</w:t>
      </w:r>
      <w:r>
        <w:rPr>
          <w:rFonts w:hint="eastAsia" w:hAnsi="宋体"/>
          <w:szCs w:val="21"/>
          <w:lang w:val="de-DE"/>
        </w:rPr>
        <w:t>201</w:t>
      </w:r>
      <w:r>
        <w:rPr>
          <w:rFonts w:hAnsi="宋体"/>
          <w:szCs w:val="21"/>
          <w:lang w:val="de-DE"/>
        </w:rPr>
        <w:t>7</w:t>
      </w:r>
      <w:r>
        <w:rPr>
          <w:rFonts w:hint="eastAsia" w:hAnsi="宋体"/>
          <w:szCs w:val="21"/>
          <w:lang w:val="de-DE"/>
        </w:rPr>
        <w:t>中7.1的要求适用。并且，</w:t>
      </w:r>
      <w:r>
        <w:rPr>
          <w:rFonts w:hint="eastAsia" w:hAnsi="宋体"/>
          <w:szCs w:val="21"/>
        </w:rPr>
        <w:t>7.1.2和7.1.3的</w:t>
      </w:r>
      <w:r>
        <w:rPr>
          <w:rFonts w:hint="eastAsia" w:hAnsi="宋体"/>
          <w:szCs w:val="21"/>
          <w:lang w:val="de-DE"/>
        </w:rPr>
        <w:t>要求和指南适用。</w:t>
      </w:r>
    </w:p>
    <w:p w14:paraId="14F51ACA">
      <w:pPr>
        <w:pStyle w:val="70"/>
        <w:numPr>
          <w:ilvl w:val="0"/>
          <w:numId w:val="0"/>
        </w:numPr>
        <w:spacing w:before="156" w:after="156"/>
        <w:rPr>
          <w:rFonts w:hAnsi="黑体"/>
        </w:rPr>
      </w:pPr>
      <w:r>
        <w:rPr>
          <w:rFonts w:hAnsi="黑体"/>
        </w:rPr>
        <w:t>7.1.</w:t>
      </w:r>
      <w:r>
        <w:rPr>
          <w:rFonts w:hint="eastAsia" w:hAnsi="黑体"/>
        </w:rPr>
        <w:t>2</w:t>
      </w:r>
      <w:r>
        <w:rPr>
          <w:rFonts w:hint="eastAsia" w:hAnsi="黑体"/>
          <w:lang w:val="en-US" w:eastAsia="zh-CN"/>
        </w:rPr>
        <w:t xml:space="preserve"> </w:t>
      </w:r>
      <w:r>
        <w:rPr>
          <w:rFonts w:hAnsi="黑体"/>
        </w:rPr>
        <w:t xml:space="preserve"> </w:t>
      </w:r>
      <w:r>
        <w:rPr>
          <w:rFonts w:hint="eastAsia" w:hAnsi="黑体"/>
        </w:rPr>
        <w:t>通用的能力要求</w:t>
      </w:r>
    </w:p>
    <w:p w14:paraId="38871D69">
      <w:pPr>
        <w:pStyle w:val="36"/>
        <w:rPr>
          <w:rFonts w:hAnsi="宋体"/>
          <w:szCs w:val="21"/>
        </w:rPr>
      </w:pPr>
      <w:r>
        <w:rPr>
          <w:rFonts w:hint="eastAsia" w:hAnsi="宋体"/>
          <w:szCs w:val="21"/>
          <w:lang w:val="de-DE"/>
        </w:rPr>
        <w:t>认证机构应按照GB/T 27021.1</w:t>
      </w:r>
      <w:r>
        <w:rPr>
          <w:rFonts w:hint="eastAsia"/>
        </w:rPr>
        <w:t>—</w:t>
      </w:r>
      <w:r>
        <w:rPr>
          <w:rFonts w:hint="eastAsia" w:hAnsi="宋体"/>
          <w:szCs w:val="21"/>
          <w:lang w:val="de-DE"/>
        </w:rPr>
        <w:t>201</w:t>
      </w:r>
      <w:r>
        <w:rPr>
          <w:rFonts w:hAnsi="宋体"/>
          <w:szCs w:val="21"/>
          <w:lang w:val="de-DE"/>
        </w:rPr>
        <w:t>7</w:t>
      </w:r>
      <w:r>
        <w:rPr>
          <w:rFonts w:hint="eastAsia" w:hAnsi="宋体"/>
          <w:szCs w:val="21"/>
          <w:lang w:val="de-DE"/>
        </w:rPr>
        <w:t>的表A.1为每项认证职能确定能力要求。认证机构应考虑GB/T 27021.1</w:t>
      </w:r>
      <w:r>
        <w:rPr>
          <w:rFonts w:hint="eastAsia"/>
        </w:rPr>
        <w:t>—</w:t>
      </w:r>
      <w:r>
        <w:rPr>
          <w:rFonts w:hint="eastAsia" w:hAnsi="宋体"/>
          <w:szCs w:val="21"/>
          <w:lang w:val="de-DE"/>
        </w:rPr>
        <w:t>201</w:t>
      </w:r>
      <w:r>
        <w:rPr>
          <w:rFonts w:hAnsi="宋体"/>
          <w:szCs w:val="21"/>
          <w:lang w:val="de-DE"/>
        </w:rPr>
        <w:t>7</w:t>
      </w:r>
      <w:r>
        <w:rPr>
          <w:rFonts w:hint="eastAsia" w:hAnsi="宋体"/>
          <w:szCs w:val="21"/>
          <w:lang w:val="de-DE"/>
        </w:rPr>
        <w:t>以及</w:t>
      </w:r>
      <w:r>
        <w:rPr>
          <w:rFonts w:hint="eastAsia" w:hAnsi="宋体"/>
          <w:szCs w:val="21"/>
        </w:rPr>
        <w:t>本文件</w:t>
      </w:r>
      <w:r>
        <w:rPr>
          <w:rFonts w:hint="eastAsia" w:hAnsi="宋体"/>
          <w:szCs w:val="21"/>
          <w:lang w:val="de-DE"/>
        </w:rPr>
        <w:t>7.1.2和7.2.</w:t>
      </w:r>
      <w:r>
        <w:rPr>
          <w:rFonts w:hint="eastAsia" w:hAnsi="宋体"/>
          <w:szCs w:val="21"/>
        </w:rPr>
        <w:t>2</w:t>
      </w:r>
      <w:r>
        <w:rPr>
          <w:rFonts w:hint="eastAsia" w:hAnsi="宋体"/>
          <w:szCs w:val="21"/>
          <w:lang w:val="de-DE"/>
        </w:rPr>
        <w:t>所规定的、与认证机构所确定的ISMS技术领域相关的所有要求。</w:t>
      </w:r>
      <w:r>
        <w:rPr>
          <w:rFonts w:hint="eastAsia" w:hAnsi="宋体"/>
          <w:szCs w:val="21"/>
        </w:rPr>
        <w:t>附录B进一步给出了关于能力的指南。</w:t>
      </w:r>
    </w:p>
    <w:p w14:paraId="09DE31D2">
      <w:pPr>
        <w:pStyle w:val="36"/>
        <w:rPr>
          <w:rFonts w:hAnsi="宋体"/>
          <w:szCs w:val="21"/>
          <w:lang w:val="de-DE"/>
        </w:rPr>
      </w:pPr>
      <w:r>
        <w:rPr>
          <w:rFonts w:hint="eastAsia" w:hAnsi="宋体"/>
          <w:szCs w:val="21"/>
        </w:rPr>
        <w:t>认证机构应根据</w:t>
      </w:r>
      <w:r>
        <w:rPr>
          <w:rFonts w:hint="eastAsia" w:hAnsi="宋体"/>
          <w:szCs w:val="21"/>
          <w:lang w:val="de-DE"/>
        </w:rPr>
        <w:t>附录A</w:t>
      </w:r>
      <w:r>
        <w:rPr>
          <w:rFonts w:hint="eastAsia" w:hAnsi="宋体"/>
          <w:szCs w:val="21"/>
        </w:rPr>
        <w:t>定义各</w:t>
      </w:r>
      <w:r>
        <w:rPr>
          <w:rFonts w:hint="eastAsia" w:hAnsi="宋体"/>
          <w:szCs w:val="21"/>
          <w:lang w:val="de-DE"/>
        </w:rPr>
        <w:t>认证职能</w:t>
      </w:r>
      <w:r>
        <w:rPr>
          <w:rFonts w:hint="eastAsia" w:hAnsi="宋体"/>
          <w:szCs w:val="21"/>
        </w:rPr>
        <w:t>所需的知识和技能</w:t>
      </w:r>
      <w:r>
        <w:rPr>
          <w:rFonts w:hint="eastAsia" w:hAnsi="宋体"/>
          <w:szCs w:val="21"/>
          <w:lang w:val="de-DE"/>
        </w:rPr>
        <w:t>。</w:t>
      </w:r>
    </w:p>
    <w:p w14:paraId="3977ED02">
      <w:pPr>
        <w:pStyle w:val="36"/>
        <w:rPr>
          <w:rFonts w:hAnsi="宋体"/>
          <w:szCs w:val="21"/>
          <w:lang w:val="de-DE"/>
        </w:rPr>
      </w:pPr>
      <w:r>
        <w:rPr>
          <w:rFonts w:hint="eastAsia" w:hAnsi="宋体"/>
          <w:szCs w:val="21"/>
          <w:lang w:val="de-DE"/>
        </w:rPr>
        <w:t>如果特定标准（如ISO/IEC</w:t>
      </w:r>
      <w:r>
        <w:rPr>
          <w:rFonts w:hint="eastAsia" w:hAnsi="宋体"/>
          <w:szCs w:val="21"/>
          <w:lang w:val="en-US" w:eastAsia="zh-CN"/>
        </w:rPr>
        <w:t xml:space="preserve"> TS</w:t>
      </w:r>
      <w:r>
        <w:rPr>
          <w:rFonts w:hint="eastAsia" w:hAnsi="宋体"/>
          <w:szCs w:val="21"/>
          <w:lang w:val="de-DE"/>
        </w:rPr>
        <w:t xml:space="preserve"> 27006-2</w:t>
      </w:r>
      <w:r>
        <w:rPr>
          <w:rStyle w:val="62"/>
          <w:rFonts w:hint="eastAsia" w:hAnsi="宋体"/>
          <w:szCs w:val="21"/>
          <w:lang w:val="de-DE"/>
        </w:rPr>
        <w:footnoteReference w:id="0"/>
      </w:r>
      <w:r>
        <w:rPr>
          <w:rFonts w:hint="eastAsia" w:hAnsi="宋体"/>
          <w:szCs w:val="21"/>
          <w:lang w:val="de-DE"/>
        </w:rPr>
        <w:t>）中</w:t>
      </w:r>
      <w:r>
        <w:rPr>
          <w:rFonts w:hint="eastAsia" w:hAnsi="宋体"/>
          <w:szCs w:val="21"/>
        </w:rPr>
        <w:t>制定了</w:t>
      </w:r>
      <w:r>
        <w:rPr>
          <w:rFonts w:hint="eastAsia" w:hAnsi="宋体"/>
          <w:szCs w:val="21"/>
          <w:lang w:val="de-DE"/>
        </w:rPr>
        <w:t>包括能力要求在内的其他特定</w:t>
      </w:r>
      <w:r>
        <w:rPr>
          <w:rFonts w:hint="eastAsia" w:hAnsi="宋体"/>
          <w:szCs w:val="21"/>
        </w:rPr>
        <w:t>准则</w:t>
      </w:r>
      <w:r>
        <w:rPr>
          <w:rFonts w:hint="eastAsia" w:hAnsi="宋体"/>
          <w:szCs w:val="21"/>
          <w:lang w:val="de-DE"/>
        </w:rPr>
        <w:t>，则</w:t>
      </w:r>
      <w:r>
        <w:rPr>
          <w:rFonts w:hint="eastAsia" w:hAnsi="宋体"/>
          <w:szCs w:val="21"/>
        </w:rPr>
        <w:t>这些能力要求应得到应用。</w:t>
      </w:r>
    </w:p>
    <w:p w14:paraId="5491BAE1">
      <w:pPr>
        <w:pStyle w:val="70"/>
        <w:numPr>
          <w:ilvl w:val="0"/>
          <w:numId w:val="0"/>
        </w:numPr>
        <w:spacing w:before="156" w:after="156"/>
        <w:rPr>
          <w:rFonts w:hAnsi="黑体"/>
        </w:rPr>
      </w:pPr>
      <w:r>
        <w:rPr>
          <w:rFonts w:hint="eastAsia" w:hAnsi="黑体"/>
        </w:rPr>
        <w:t xml:space="preserve">7.1.3 </w:t>
      </w:r>
      <w:r>
        <w:rPr>
          <w:rFonts w:hint="eastAsia" w:hAnsi="黑体"/>
          <w:lang w:val="en-US" w:eastAsia="zh-CN"/>
        </w:rPr>
        <w:t xml:space="preserve"> </w:t>
      </w:r>
      <w:r>
        <w:rPr>
          <w:rFonts w:hint="eastAsia" w:hAnsi="黑体"/>
        </w:rPr>
        <w:t>能力准则的确定</w:t>
      </w:r>
    </w:p>
    <w:p w14:paraId="42883192">
      <w:pPr>
        <w:pStyle w:val="70"/>
        <w:numPr>
          <w:ilvl w:val="0"/>
          <w:numId w:val="0"/>
        </w:numPr>
        <w:spacing w:before="156" w:after="156"/>
        <w:rPr>
          <w:rFonts w:hAnsi="黑体"/>
        </w:rPr>
      </w:pPr>
      <w:r>
        <w:rPr>
          <w:rFonts w:hint="eastAsia" w:hAnsi="黑体"/>
        </w:rPr>
        <w:t xml:space="preserve">7.1.3.1 </w:t>
      </w:r>
      <w:r>
        <w:rPr>
          <w:rFonts w:hint="eastAsia" w:hAnsi="黑体"/>
          <w:lang w:val="en-US" w:eastAsia="zh-CN"/>
        </w:rPr>
        <w:t xml:space="preserve"> </w:t>
      </w:r>
      <w:r>
        <w:rPr>
          <w:rFonts w:hint="eastAsia" w:hAnsi="黑体"/>
        </w:rPr>
        <w:t>实施ISMS审核的能力要求</w:t>
      </w:r>
    </w:p>
    <w:p w14:paraId="7F46184E">
      <w:pPr>
        <w:pStyle w:val="70"/>
        <w:numPr>
          <w:ilvl w:val="0"/>
          <w:numId w:val="0"/>
        </w:numPr>
        <w:spacing w:before="156" w:after="156"/>
        <w:rPr>
          <w:rFonts w:hAnsi="黑体"/>
        </w:rPr>
      </w:pPr>
      <w:r>
        <w:rPr>
          <w:rFonts w:hint="eastAsia" w:hAnsi="黑体"/>
        </w:rPr>
        <w:t>7.1.3.1.1</w:t>
      </w:r>
      <w:r>
        <w:rPr>
          <w:rFonts w:hint="eastAsia" w:hAnsi="黑体"/>
          <w:lang w:val="en-US" w:eastAsia="zh-CN"/>
        </w:rPr>
        <w:t xml:space="preserve"> </w:t>
      </w:r>
      <w:r>
        <w:rPr>
          <w:rFonts w:hint="eastAsia" w:hAnsi="黑体"/>
        </w:rPr>
        <w:t xml:space="preserve"> 总体要求</w:t>
      </w:r>
    </w:p>
    <w:p w14:paraId="79D29D0D">
      <w:pPr>
        <w:pStyle w:val="36"/>
        <w:rPr>
          <w:rFonts w:hAnsi="宋体"/>
          <w:szCs w:val="21"/>
          <w:lang w:val="de-DE"/>
        </w:rPr>
      </w:pPr>
      <w:r>
        <w:rPr>
          <w:rFonts w:hint="eastAsia" w:hAnsi="宋体"/>
          <w:szCs w:val="21"/>
          <w:lang w:val="de-DE"/>
        </w:rPr>
        <w:t>认证机构应有验证审核组</w:t>
      </w:r>
      <w:r>
        <w:rPr>
          <w:rFonts w:hint="eastAsia" w:hAnsi="宋体"/>
          <w:szCs w:val="21"/>
        </w:rPr>
        <w:t>成员能力</w:t>
      </w:r>
      <w:r>
        <w:rPr>
          <w:rFonts w:hint="eastAsia" w:hAnsi="宋体"/>
          <w:szCs w:val="21"/>
          <w:lang w:val="de-DE"/>
        </w:rPr>
        <w:t>的准则，以确保</w:t>
      </w:r>
      <w:r>
        <w:rPr>
          <w:rFonts w:hint="eastAsia" w:hAnsi="宋体"/>
          <w:szCs w:val="21"/>
        </w:rPr>
        <w:t>他们</w:t>
      </w:r>
      <w:r>
        <w:rPr>
          <w:rFonts w:hint="eastAsia" w:hAnsi="宋体"/>
          <w:szCs w:val="21"/>
          <w:lang w:val="de-DE"/>
        </w:rPr>
        <w:t>至少具备</w:t>
      </w:r>
      <w:r>
        <w:rPr>
          <w:rFonts w:hint="eastAsia" w:hAnsi="宋体"/>
          <w:szCs w:val="21"/>
        </w:rPr>
        <w:t>应用以下知识的技能</w:t>
      </w:r>
      <w:r>
        <w:rPr>
          <w:rFonts w:hint="eastAsia" w:hAnsi="宋体"/>
          <w:szCs w:val="21"/>
          <w:lang w:val="de-DE"/>
        </w:rPr>
        <w:t>：</w:t>
      </w:r>
    </w:p>
    <w:p w14:paraId="7C276C6C">
      <w:pPr>
        <w:pStyle w:val="85"/>
        <w:numPr>
          <w:ilvl w:val="0"/>
          <w:numId w:val="21"/>
        </w:numPr>
        <w:ind w:left="735" w:leftChars="200" w:hanging="315" w:hangingChars="150"/>
        <w:rPr>
          <w:rFonts w:hAnsi="宋体"/>
          <w:szCs w:val="21"/>
        </w:rPr>
      </w:pPr>
      <w:r>
        <w:rPr>
          <w:rFonts w:hint="eastAsia" w:hAnsi="宋体"/>
          <w:szCs w:val="21"/>
        </w:rPr>
        <w:t>信息安全；</w:t>
      </w:r>
    </w:p>
    <w:p w14:paraId="1107608C">
      <w:pPr>
        <w:pStyle w:val="85"/>
        <w:numPr>
          <w:ilvl w:val="0"/>
          <w:numId w:val="21"/>
        </w:numPr>
        <w:ind w:left="735" w:leftChars="200" w:hanging="315" w:hangingChars="150"/>
        <w:rPr>
          <w:rFonts w:hAnsi="宋体"/>
          <w:szCs w:val="21"/>
        </w:rPr>
      </w:pPr>
      <w:r>
        <w:rPr>
          <w:rFonts w:hint="eastAsia" w:hAnsi="宋体"/>
          <w:szCs w:val="21"/>
          <w:lang w:val="de-DE"/>
        </w:rPr>
        <w:t>与</w:t>
      </w:r>
      <w:r>
        <w:rPr>
          <w:rFonts w:hint="eastAsia" w:hAnsi="宋体"/>
          <w:szCs w:val="21"/>
        </w:rPr>
        <w:t>受审核的活动相关的技术；</w:t>
      </w:r>
    </w:p>
    <w:p w14:paraId="71B89D4E">
      <w:pPr>
        <w:pStyle w:val="85"/>
        <w:numPr>
          <w:ilvl w:val="0"/>
          <w:numId w:val="21"/>
        </w:numPr>
        <w:ind w:left="735" w:leftChars="200" w:hanging="315" w:hangingChars="150"/>
        <w:rPr>
          <w:rFonts w:hAnsi="宋体"/>
          <w:szCs w:val="21"/>
        </w:rPr>
      </w:pPr>
      <w:r>
        <w:rPr>
          <w:rFonts w:hint="eastAsia" w:hAnsi="宋体"/>
          <w:szCs w:val="21"/>
        </w:rPr>
        <w:t>管理体系；</w:t>
      </w:r>
    </w:p>
    <w:p w14:paraId="682E080C">
      <w:pPr>
        <w:pStyle w:val="85"/>
        <w:numPr>
          <w:ilvl w:val="0"/>
          <w:numId w:val="21"/>
        </w:numPr>
        <w:ind w:left="735" w:leftChars="200" w:hanging="315" w:hangingChars="150"/>
        <w:rPr>
          <w:rFonts w:hAnsi="宋体"/>
          <w:szCs w:val="21"/>
        </w:rPr>
      </w:pPr>
      <w:r>
        <w:rPr>
          <w:rFonts w:hint="eastAsia" w:hAnsi="宋体"/>
          <w:szCs w:val="21"/>
          <w:lang w:val="de-DE"/>
        </w:rPr>
        <w:t>审核</w:t>
      </w:r>
      <w:r>
        <w:rPr>
          <w:rFonts w:hint="eastAsia" w:hAnsi="宋体"/>
          <w:szCs w:val="21"/>
        </w:rPr>
        <w:t>原则；</w:t>
      </w:r>
    </w:p>
    <w:p w14:paraId="3A388C9F">
      <w:pPr>
        <w:pStyle w:val="36"/>
        <w:ind w:firstLine="360"/>
        <w:rPr>
          <w:rFonts w:hAnsi="宋体"/>
          <w:sz w:val="18"/>
          <w:szCs w:val="18"/>
          <w:lang w:val="de-DE"/>
        </w:rPr>
      </w:pPr>
      <w:r>
        <w:rPr>
          <w:rFonts w:hint="eastAsia" w:ascii="黑体" w:hAnsi="黑体" w:eastAsia="黑体"/>
          <w:sz w:val="18"/>
          <w:szCs w:val="18"/>
          <w:lang w:val="de-DE"/>
        </w:rPr>
        <w:t>注：</w:t>
      </w:r>
      <w:r>
        <w:rPr>
          <w:rFonts w:hint="eastAsia" w:hAnsi="宋体"/>
          <w:sz w:val="18"/>
          <w:szCs w:val="18"/>
          <w:lang w:val="de-DE"/>
        </w:rPr>
        <w:t>ISO 19011</w:t>
      </w:r>
      <w:r>
        <w:rPr>
          <w:rFonts w:hint="eastAsia" w:hAnsi="宋体"/>
          <w:sz w:val="18"/>
          <w:szCs w:val="18"/>
          <w:lang w:val="en-US" w:eastAsia="zh-CN"/>
        </w:rPr>
        <w:t>给出了</w:t>
      </w:r>
      <w:r>
        <w:rPr>
          <w:rFonts w:hint="eastAsia" w:hAnsi="宋体"/>
          <w:sz w:val="18"/>
          <w:szCs w:val="18"/>
          <w:lang w:val="de-DE"/>
        </w:rPr>
        <w:t>有关审核原则的</w:t>
      </w:r>
      <w:r>
        <w:rPr>
          <w:rFonts w:hint="eastAsia" w:hAnsi="宋体"/>
          <w:sz w:val="18"/>
          <w:szCs w:val="18"/>
          <w:lang w:val="en-US" w:eastAsia="zh-CN"/>
        </w:rPr>
        <w:t>详细</w:t>
      </w:r>
      <w:r>
        <w:rPr>
          <w:rFonts w:hint="eastAsia" w:hAnsi="宋体"/>
          <w:sz w:val="18"/>
          <w:szCs w:val="18"/>
          <w:lang w:val="de-DE"/>
        </w:rPr>
        <w:t>信息。</w:t>
      </w:r>
    </w:p>
    <w:p w14:paraId="574650B0">
      <w:pPr>
        <w:pStyle w:val="85"/>
        <w:numPr>
          <w:ilvl w:val="0"/>
          <w:numId w:val="21"/>
        </w:numPr>
        <w:ind w:left="735" w:leftChars="200" w:hanging="315" w:hangingChars="150"/>
        <w:rPr>
          <w:rFonts w:hAnsi="宋体"/>
          <w:szCs w:val="21"/>
        </w:rPr>
      </w:pPr>
      <w:r>
        <w:rPr>
          <w:rFonts w:hint="eastAsia" w:hAnsi="宋体"/>
          <w:szCs w:val="21"/>
          <w:lang w:val="de-DE"/>
        </w:rPr>
        <w:t>ISMS的监视、测量、分析和评价</w:t>
      </w:r>
      <w:r>
        <w:rPr>
          <w:rFonts w:hint="eastAsia" w:hAnsi="宋体"/>
          <w:szCs w:val="21"/>
        </w:rPr>
        <w:t>。</w:t>
      </w:r>
    </w:p>
    <w:p w14:paraId="6ED110C5">
      <w:pPr>
        <w:pStyle w:val="36"/>
        <w:rPr>
          <w:rFonts w:hAnsi="宋体"/>
          <w:szCs w:val="21"/>
          <w:lang w:val="de-DE"/>
        </w:rPr>
      </w:pPr>
      <w:r>
        <w:rPr>
          <w:rFonts w:hint="eastAsia" w:hAnsi="宋体"/>
          <w:szCs w:val="21"/>
          <w:lang w:val="de-DE"/>
        </w:rPr>
        <w:t>除b)</w:t>
      </w:r>
      <w:r>
        <w:rPr>
          <w:rFonts w:hint="eastAsia" w:hAnsi="宋体"/>
          <w:szCs w:val="21"/>
          <w:lang w:val="en-US" w:eastAsia="zh-CN"/>
        </w:rPr>
        <w:t>能</w:t>
      </w:r>
      <w:r>
        <w:rPr>
          <w:rFonts w:hint="eastAsia" w:hAnsi="宋体"/>
          <w:szCs w:val="21"/>
          <w:lang w:val="de-DE"/>
        </w:rPr>
        <w:t>在审核组成员之间共享外，以上a）～e）适用于审核组</w:t>
      </w:r>
      <w:r>
        <w:rPr>
          <w:rFonts w:hint="eastAsia" w:hAnsi="宋体"/>
          <w:szCs w:val="21"/>
        </w:rPr>
        <w:t>内的</w:t>
      </w:r>
      <w:r>
        <w:rPr>
          <w:rFonts w:hint="eastAsia" w:hAnsi="宋体"/>
          <w:szCs w:val="21"/>
          <w:lang w:val="de-DE"/>
        </w:rPr>
        <w:t>所有审核员。</w:t>
      </w:r>
    </w:p>
    <w:p w14:paraId="1376808C">
      <w:pPr>
        <w:pStyle w:val="36"/>
        <w:rPr>
          <w:rFonts w:hAnsi="宋体"/>
          <w:szCs w:val="21"/>
        </w:rPr>
      </w:pPr>
      <w:r>
        <w:rPr>
          <w:rFonts w:hint="eastAsia" w:hAnsi="宋体"/>
          <w:szCs w:val="21"/>
        </w:rPr>
        <w:t>审核组成员作为一个整体，应</w:t>
      </w:r>
      <w:r>
        <w:rPr>
          <w:rFonts w:hint="eastAsia" w:hAnsi="宋体"/>
          <w:szCs w:val="21"/>
          <w:lang w:val="en-US" w:eastAsia="zh-CN"/>
        </w:rPr>
        <w:t>具备满足</w:t>
      </w:r>
      <w:r>
        <w:rPr>
          <w:rFonts w:hint="eastAsia" w:hAnsi="宋体"/>
          <w:szCs w:val="21"/>
        </w:rPr>
        <w:t>上述要求的技能。通过</w:t>
      </w:r>
      <w:r>
        <w:rPr>
          <w:rFonts w:hint="eastAsia" w:hAnsi="宋体"/>
          <w:szCs w:val="21"/>
          <w:lang w:val="en-US" w:eastAsia="zh-CN"/>
        </w:rPr>
        <w:t>技能的</w:t>
      </w:r>
      <w:r>
        <w:rPr>
          <w:rFonts w:hint="eastAsia" w:hAnsi="宋体"/>
          <w:szCs w:val="21"/>
        </w:rPr>
        <w:t>应用</w:t>
      </w:r>
      <w:r>
        <w:rPr>
          <w:rFonts w:hint="eastAsia" w:hAnsi="宋体"/>
          <w:szCs w:val="21"/>
          <w:lang w:val="en-US" w:eastAsia="zh-CN"/>
        </w:rPr>
        <w:t>情况能</w:t>
      </w:r>
      <w:r>
        <w:rPr>
          <w:rFonts w:hint="eastAsia" w:hAnsi="宋体"/>
          <w:szCs w:val="21"/>
        </w:rPr>
        <w:t>证实</w:t>
      </w:r>
      <w:r>
        <w:rPr>
          <w:rFonts w:hint="eastAsia" w:hAnsi="宋体"/>
          <w:szCs w:val="21"/>
          <w:lang w:val="en-US" w:eastAsia="zh-CN"/>
        </w:rPr>
        <w:t>其是否具备</w:t>
      </w:r>
      <w:r>
        <w:rPr>
          <w:rFonts w:hint="eastAsia" w:hAnsi="宋体"/>
          <w:szCs w:val="21"/>
        </w:rPr>
        <w:t>这些技能。</w:t>
      </w:r>
    </w:p>
    <w:p w14:paraId="4D0AD374">
      <w:pPr>
        <w:pStyle w:val="36"/>
        <w:rPr>
          <w:rFonts w:hAnsi="宋体"/>
          <w:szCs w:val="21"/>
          <w:lang w:val="de-DE"/>
        </w:rPr>
      </w:pPr>
      <w:r>
        <w:rPr>
          <w:rFonts w:hint="eastAsia" w:hAnsi="宋体"/>
          <w:szCs w:val="21"/>
          <w:lang w:val="de-DE"/>
        </w:rPr>
        <w:t>审核组</w:t>
      </w:r>
      <w:r>
        <w:rPr>
          <w:rFonts w:hint="eastAsia" w:hAnsi="宋体"/>
          <w:szCs w:val="21"/>
        </w:rPr>
        <w:t>成员作为一个整体，</w:t>
      </w:r>
      <w:r>
        <w:rPr>
          <w:rFonts w:hint="eastAsia" w:hAnsi="宋体"/>
          <w:szCs w:val="21"/>
          <w:lang w:val="de-DE"/>
        </w:rPr>
        <w:t>应有能力将客户ISMS中信息安全事件的迹象追溯到ISMS的相应要素。</w:t>
      </w:r>
    </w:p>
    <w:p w14:paraId="0E1B63F9">
      <w:pPr>
        <w:pStyle w:val="36"/>
        <w:rPr>
          <w:rFonts w:hAnsi="宋体"/>
          <w:szCs w:val="21"/>
        </w:rPr>
      </w:pPr>
      <w:r>
        <w:rPr>
          <w:rFonts w:hint="eastAsia" w:hAnsi="宋体"/>
          <w:szCs w:val="21"/>
        </w:rPr>
        <w:t>审核组中的审核员</w:t>
      </w:r>
      <w:r>
        <w:rPr>
          <w:rFonts w:hint="eastAsia" w:hAnsi="宋体"/>
          <w:szCs w:val="21"/>
          <w:lang w:val="en-US" w:eastAsia="zh-CN"/>
        </w:rPr>
        <w:t>作为个体</w:t>
      </w:r>
      <w:r>
        <w:rPr>
          <w:rFonts w:hint="eastAsia" w:hAnsi="宋体"/>
          <w:szCs w:val="21"/>
        </w:rPr>
        <w:t>不必具有所有信息安全领域的全面经验，但审核组整体上应具备适宜能力，以覆盖所审核的ISMS范围。</w:t>
      </w:r>
    </w:p>
    <w:p w14:paraId="632D9432">
      <w:pPr>
        <w:pStyle w:val="70"/>
        <w:numPr>
          <w:ilvl w:val="0"/>
          <w:numId w:val="0"/>
        </w:numPr>
        <w:spacing w:before="156" w:after="156"/>
        <w:rPr>
          <w:rFonts w:hAnsi="黑体"/>
        </w:rPr>
      </w:pPr>
      <w:r>
        <w:rPr>
          <w:rFonts w:hint="eastAsia" w:hAnsi="黑体"/>
        </w:rPr>
        <w:t>7.1.3.1.2</w:t>
      </w:r>
      <w:r>
        <w:rPr>
          <w:rFonts w:hint="eastAsia" w:hAnsi="黑体"/>
          <w:lang w:val="en-US" w:eastAsia="zh-CN"/>
        </w:rPr>
        <w:t xml:space="preserve"> </w:t>
      </w:r>
      <w:r>
        <w:rPr>
          <w:rFonts w:hint="eastAsia" w:hAnsi="黑体"/>
        </w:rPr>
        <w:t xml:space="preserve"> 信息安全管理术语、原则、实践和技术</w:t>
      </w:r>
    </w:p>
    <w:p w14:paraId="2DB0D15F">
      <w:pPr>
        <w:pStyle w:val="36"/>
        <w:rPr>
          <w:rFonts w:hAnsi="宋体"/>
          <w:szCs w:val="21"/>
        </w:rPr>
      </w:pPr>
      <w:r>
        <w:rPr>
          <w:rFonts w:hint="eastAsia" w:hAnsi="宋体"/>
          <w:szCs w:val="21"/>
        </w:rPr>
        <w:t>ISMS审核组的</w:t>
      </w:r>
      <w:r>
        <w:rPr>
          <w:rFonts w:hint="eastAsia" w:hAnsi="宋体"/>
          <w:szCs w:val="21"/>
          <w:lang w:eastAsia="zh-CN"/>
        </w:rPr>
        <w:t>每位</w:t>
      </w:r>
      <w:r>
        <w:rPr>
          <w:rFonts w:hint="eastAsia" w:hAnsi="宋体"/>
          <w:szCs w:val="21"/>
        </w:rPr>
        <w:t>审核员应具备以下知识：</w:t>
      </w:r>
    </w:p>
    <w:p w14:paraId="09079F85">
      <w:pPr>
        <w:pStyle w:val="85"/>
        <w:numPr>
          <w:ilvl w:val="0"/>
          <w:numId w:val="22"/>
        </w:numPr>
        <w:ind w:left="735" w:leftChars="200" w:hanging="315" w:hangingChars="150"/>
        <w:rPr>
          <w:rFonts w:hAnsi="宋体"/>
          <w:szCs w:val="21"/>
        </w:rPr>
      </w:pPr>
      <w:r>
        <w:rPr>
          <w:rFonts w:hint="eastAsia" w:hAnsi="宋体"/>
          <w:szCs w:val="21"/>
        </w:rPr>
        <w:t>ISMS特定</w:t>
      </w:r>
      <w:r>
        <w:rPr>
          <w:rFonts w:hint="eastAsia" w:hAnsi="宋体"/>
          <w:szCs w:val="21"/>
          <w:lang w:eastAsia="zh-CN"/>
        </w:rPr>
        <w:t>的</w:t>
      </w:r>
      <w:r>
        <w:rPr>
          <w:rFonts w:hint="eastAsia" w:hAnsi="宋体"/>
          <w:szCs w:val="21"/>
        </w:rPr>
        <w:t>文件结构、层级和相互关系；</w:t>
      </w:r>
    </w:p>
    <w:p w14:paraId="44DF0AAB">
      <w:pPr>
        <w:pStyle w:val="85"/>
        <w:numPr>
          <w:ilvl w:val="0"/>
          <w:numId w:val="22"/>
        </w:numPr>
        <w:ind w:left="735" w:leftChars="200" w:hanging="315" w:hangingChars="150"/>
        <w:rPr>
          <w:rFonts w:hAnsi="宋体"/>
          <w:szCs w:val="21"/>
        </w:rPr>
      </w:pPr>
      <w:r>
        <w:rPr>
          <w:rFonts w:hint="eastAsia" w:hAnsi="宋体"/>
          <w:szCs w:val="21"/>
        </w:rPr>
        <w:t>信息安全</w:t>
      </w:r>
      <w:r>
        <w:rPr>
          <w:rFonts w:hint="eastAsia" w:hAnsi="宋体"/>
          <w:szCs w:val="21"/>
          <w:lang w:val="en-US" w:eastAsia="zh-CN"/>
        </w:rPr>
        <w:t>风险评估和风险管理</w:t>
      </w:r>
      <w:r>
        <w:rPr>
          <w:rFonts w:hint="eastAsia" w:hAnsi="宋体"/>
          <w:szCs w:val="21"/>
        </w:rPr>
        <w:t>；</w:t>
      </w:r>
    </w:p>
    <w:p w14:paraId="086949BB">
      <w:pPr>
        <w:pStyle w:val="85"/>
        <w:numPr>
          <w:ilvl w:val="0"/>
          <w:numId w:val="22"/>
        </w:numPr>
        <w:ind w:left="735" w:leftChars="200" w:hanging="315" w:hangingChars="150"/>
        <w:rPr>
          <w:rFonts w:hAnsi="宋体"/>
          <w:szCs w:val="21"/>
        </w:rPr>
      </w:pPr>
      <w:r>
        <w:rPr>
          <w:rFonts w:hint="eastAsia" w:hAnsi="宋体"/>
          <w:szCs w:val="21"/>
        </w:rPr>
        <w:t>ISMS适用的过程</w:t>
      </w:r>
      <w:r>
        <w:rPr>
          <w:rFonts w:hint="eastAsia" w:hAnsi="宋体"/>
          <w:szCs w:val="21"/>
          <w:lang w:eastAsia="zh-CN"/>
        </w:rPr>
        <w:t>。</w:t>
      </w:r>
    </w:p>
    <w:p w14:paraId="4370847C">
      <w:pPr>
        <w:pStyle w:val="36"/>
        <w:numPr>
          <w:ilvl w:val="-1"/>
          <w:numId w:val="0"/>
        </w:numPr>
        <w:ind w:left="0" w:leftChars="0" w:firstLine="420" w:firstLineChars="200"/>
        <w:rPr>
          <w:rFonts w:hint="eastAsia" w:hAnsi="宋体" w:eastAsia="宋体"/>
          <w:szCs w:val="21"/>
          <w:lang w:eastAsia="zh-CN"/>
        </w:rPr>
      </w:pPr>
      <w:r>
        <w:rPr>
          <w:rFonts w:hint="eastAsia" w:hAnsi="宋体"/>
          <w:szCs w:val="21"/>
        </w:rPr>
        <w:t>审核组成员作为一个整体，应具备以下知识</w:t>
      </w:r>
      <w:r>
        <w:rPr>
          <w:rFonts w:hint="eastAsia" w:hAnsi="宋体"/>
          <w:szCs w:val="21"/>
          <w:lang w:eastAsia="zh-CN"/>
        </w:rPr>
        <w:t>：</w:t>
      </w:r>
    </w:p>
    <w:p w14:paraId="526D00DC">
      <w:pPr>
        <w:pStyle w:val="85"/>
        <w:numPr>
          <w:ilvl w:val="0"/>
          <w:numId w:val="22"/>
        </w:numPr>
        <w:ind w:left="735" w:leftChars="200" w:hanging="315" w:hangingChars="150"/>
        <w:rPr>
          <w:rFonts w:hAnsi="宋体"/>
          <w:szCs w:val="21"/>
        </w:rPr>
      </w:pPr>
      <w:r>
        <w:rPr>
          <w:rFonts w:hint="eastAsia" w:hAnsi="宋体"/>
          <w:szCs w:val="21"/>
        </w:rPr>
        <w:t>信息安全管理相关的工具、方法、技术及其应用；</w:t>
      </w:r>
    </w:p>
    <w:p w14:paraId="6763E1F2">
      <w:pPr>
        <w:pStyle w:val="85"/>
        <w:numPr>
          <w:ilvl w:val="0"/>
          <w:numId w:val="22"/>
        </w:numPr>
        <w:ind w:left="735" w:leftChars="200" w:hanging="315" w:hangingChars="150"/>
        <w:rPr>
          <w:rFonts w:hAnsi="宋体"/>
          <w:szCs w:val="21"/>
        </w:rPr>
      </w:pPr>
      <w:r>
        <w:rPr>
          <w:rFonts w:hint="eastAsia" w:hAnsi="宋体"/>
          <w:szCs w:val="21"/>
        </w:rPr>
        <w:t>当前可能与信息安全相关的或可能面临信息安全问题的技术。</w:t>
      </w:r>
    </w:p>
    <w:p w14:paraId="399F6E19">
      <w:pPr>
        <w:pStyle w:val="70"/>
        <w:numPr>
          <w:ilvl w:val="0"/>
          <w:numId w:val="0"/>
        </w:numPr>
        <w:spacing w:before="156" w:after="156"/>
        <w:rPr>
          <w:rFonts w:hAnsi="黑体"/>
        </w:rPr>
      </w:pPr>
      <w:r>
        <w:rPr>
          <w:rFonts w:hint="eastAsia" w:hAnsi="黑体"/>
        </w:rPr>
        <w:t>7.1.3.1.3</w:t>
      </w:r>
      <w:r>
        <w:rPr>
          <w:rFonts w:hint="eastAsia" w:hAnsi="黑体"/>
          <w:lang w:val="en-US" w:eastAsia="zh-CN"/>
        </w:rPr>
        <w:t xml:space="preserve"> </w:t>
      </w:r>
      <w:r>
        <w:rPr>
          <w:rFonts w:hint="eastAsia" w:hAnsi="黑体"/>
        </w:rPr>
        <w:t xml:space="preserve"> 信息安全管理体系标准和规范性文件</w:t>
      </w:r>
    </w:p>
    <w:p w14:paraId="6C988794">
      <w:pPr>
        <w:pStyle w:val="36"/>
        <w:numPr>
          <w:ilvl w:val="255"/>
          <w:numId w:val="0"/>
        </w:numPr>
        <w:ind w:firstLine="420" w:firstLineChars="200"/>
        <w:rPr>
          <w:rFonts w:hAnsi="宋体"/>
          <w:szCs w:val="21"/>
        </w:rPr>
      </w:pPr>
      <w:r>
        <w:rPr>
          <w:rFonts w:hint="eastAsia" w:hAnsi="宋体"/>
          <w:szCs w:val="21"/>
        </w:rPr>
        <w:t>ISMS审核组的</w:t>
      </w:r>
      <w:r>
        <w:rPr>
          <w:rFonts w:hint="eastAsia" w:hAnsi="宋体"/>
          <w:szCs w:val="21"/>
          <w:lang w:eastAsia="zh-CN"/>
        </w:rPr>
        <w:t>每位</w:t>
      </w:r>
      <w:r>
        <w:rPr>
          <w:rFonts w:hint="eastAsia" w:hAnsi="宋体"/>
          <w:szCs w:val="21"/>
        </w:rPr>
        <w:t>审核员应具备GB/T 22080</w:t>
      </w:r>
      <w:r>
        <w:rPr>
          <w:rFonts w:hint="eastAsia"/>
        </w:rPr>
        <w:t>—</w:t>
      </w:r>
      <w:r>
        <w:rPr>
          <w:rFonts w:hint="eastAsia" w:hAnsi="宋体"/>
          <w:szCs w:val="21"/>
        </w:rPr>
        <w:t>20</w:t>
      </w:r>
      <w:r>
        <w:rPr>
          <w:rFonts w:hint="eastAsia" w:hAnsi="宋体"/>
          <w:szCs w:val="21"/>
          <w:lang w:val="en-US" w:eastAsia="zh-CN"/>
        </w:rPr>
        <w:t>2X</w:t>
      </w:r>
      <w:r>
        <w:rPr>
          <w:rFonts w:hint="eastAsia" w:hAnsi="宋体"/>
          <w:szCs w:val="21"/>
        </w:rPr>
        <w:t>的知识。</w:t>
      </w:r>
    </w:p>
    <w:p w14:paraId="7AF5A441">
      <w:pPr>
        <w:pStyle w:val="36"/>
        <w:numPr>
          <w:ilvl w:val="255"/>
          <w:numId w:val="0"/>
        </w:numPr>
        <w:ind w:firstLine="420" w:firstLineChars="200"/>
        <w:rPr>
          <w:rFonts w:hAnsi="宋体"/>
          <w:szCs w:val="21"/>
        </w:rPr>
      </w:pPr>
      <w:r>
        <w:rPr>
          <w:rFonts w:hint="eastAsia" w:hAnsi="宋体"/>
          <w:szCs w:val="21"/>
        </w:rPr>
        <w:t>审核组成员作为一个整体，应具备GB/T 22080</w:t>
      </w:r>
      <w:r>
        <w:rPr>
          <w:rFonts w:hint="eastAsia"/>
        </w:rPr>
        <w:t>—</w:t>
      </w:r>
      <w:r>
        <w:rPr>
          <w:rFonts w:hint="eastAsia" w:hAnsi="宋体"/>
          <w:szCs w:val="21"/>
        </w:rPr>
        <w:t>20</w:t>
      </w:r>
      <w:r>
        <w:rPr>
          <w:rFonts w:hint="eastAsia" w:hAnsi="宋体"/>
          <w:szCs w:val="21"/>
          <w:lang w:val="en-US" w:eastAsia="zh-CN"/>
        </w:rPr>
        <w:t>2X</w:t>
      </w:r>
      <w:r>
        <w:rPr>
          <w:rFonts w:hint="eastAsia" w:hAnsi="宋体"/>
          <w:szCs w:val="21"/>
        </w:rPr>
        <w:t>附录A中所有控制及其</w:t>
      </w:r>
      <w:r>
        <w:rPr>
          <w:rFonts w:hint="eastAsia" w:hAnsi="宋体"/>
          <w:szCs w:val="21"/>
          <w:lang w:val="en-US" w:eastAsia="zh-CN"/>
        </w:rPr>
        <w:t>实现</w:t>
      </w:r>
      <w:r>
        <w:rPr>
          <w:rFonts w:hint="eastAsia" w:hAnsi="宋体"/>
          <w:szCs w:val="21"/>
        </w:rPr>
        <w:t>的知识。</w:t>
      </w:r>
    </w:p>
    <w:p w14:paraId="01197F9F">
      <w:pPr>
        <w:pStyle w:val="70"/>
        <w:numPr>
          <w:ilvl w:val="0"/>
          <w:numId w:val="0"/>
        </w:numPr>
        <w:spacing w:before="156" w:after="156"/>
        <w:rPr>
          <w:rFonts w:hAnsi="黑体"/>
        </w:rPr>
      </w:pPr>
      <w:r>
        <w:rPr>
          <w:rFonts w:hint="eastAsia" w:hAnsi="黑体"/>
        </w:rPr>
        <w:t>7.1.</w:t>
      </w:r>
      <w:r>
        <w:rPr>
          <w:rFonts w:hint="eastAsia" w:hAnsi="黑体"/>
          <w:lang w:val="en-US" w:eastAsia="zh-CN"/>
        </w:rPr>
        <w:t>3</w:t>
      </w:r>
      <w:r>
        <w:rPr>
          <w:rFonts w:hint="eastAsia" w:hAnsi="黑体"/>
        </w:rPr>
        <w:t>.1.4</w:t>
      </w:r>
      <w:r>
        <w:rPr>
          <w:rFonts w:hint="eastAsia" w:hAnsi="黑体"/>
          <w:lang w:val="en-US" w:eastAsia="zh-CN"/>
        </w:rPr>
        <w:t xml:space="preserve"> </w:t>
      </w:r>
      <w:r>
        <w:rPr>
          <w:rFonts w:hint="eastAsia" w:hAnsi="黑体"/>
        </w:rPr>
        <w:t xml:space="preserve"> 业务管理实践</w:t>
      </w:r>
    </w:p>
    <w:p w14:paraId="6CD90794">
      <w:pPr>
        <w:pStyle w:val="36"/>
        <w:rPr>
          <w:rFonts w:hAnsi="宋体"/>
          <w:szCs w:val="21"/>
        </w:rPr>
      </w:pPr>
      <w:r>
        <w:rPr>
          <w:rFonts w:hint="eastAsia" w:hAnsi="宋体"/>
          <w:szCs w:val="21"/>
        </w:rPr>
        <w:t>ISMS审核组的</w:t>
      </w:r>
      <w:r>
        <w:rPr>
          <w:rFonts w:hint="eastAsia" w:hAnsi="宋体"/>
          <w:szCs w:val="21"/>
          <w:lang w:eastAsia="zh-CN"/>
        </w:rPr>
        <w:t>每位</w:t>
      </w:r>
      <w:r>
        <w:rPr>
          <w:rFonts w:hint="eastAsia" w:hAnsi="宋体"/>
          <w:szCs w:val="21"/>
        </w:rPr>
        <w:t>审核员应具备以下知识：</w:t>
      </w:r>
    </w:p>
    <w:p w14:paraId="622B0426">
      <w:pPr>
        <w:pStyle w:val="36"/>
        <w:numPr>
          <w:ilvl w:val="0"/>
          <w:numId w:val="23"/>
        </w:numPr>
        <w:tabs>
          <w:tab w:val="clear" w:pos="4201"/>
          <w:tab w:val="clear" w:pos="9298"/>
        </w:tabs>
        <w:ind w:left="735" w:leftChars="200" w:hanging="315" w:hangingChars="150"/>
        <w:rPr>
          <w:rFonts w:hAnsi="宋体"/>
          <w:szCs w:val="21"/>
        </w:rPr>
      </w:pPr>
      <w:r>
        <w:rPr>
          <w:rFonts w:hint="eastAsia" w:hAnsi="宋体"/>
          <w:szCs w:val="21"/>
        </w:rPr>
        <w:t>行业的信息安全最佳实践和信息安全规程；</w:t>
      </w:r>
    </w:p>
    <w:p w14:paraId="407F552D">
      <w:pPr>
        <w:pStyle w:val="36"/>
        <w:numPr>
          <w:ilvl w:val="0"/>
          <w:numId w:val="23"/>
        </w:numPr>
        <w:tabs>
          <w:tab w:val="clear" w:pos="4201"/>
          <w:tab w:val="clear" w:pos="9298"/>
        </w:tabs>
        <w:ind w:left="735" w:leftChars="200" w:hanging="315" w:hangingChars="150"/>
        <w:rPr>
          <w:rFonts w:hAnsi="宋体"/>
          <w:szCs w:val="21"/>
        </w:rPr>
      </w:pPr>
      <w:r>
        <w:rPr>
          <w:rFonts w:hint="eastAsia" w:hAnsi="宋体"/>
          <w:szCs w:val="21"/>
        </w:rPr>
        <w:t>信息安全策略和业务要求；</w:t>
      </w:r>
    </w:p>
    <w:p w14:paraId="2CD73A83">
      <w:pPr>
        <w:pStyle w:val="36"/>
        <w:numPr>
          <w:ilvl w:val="0"/>
          <w:numId w:val="23"/>
        </w:numPr>
        <w:tabs>
          <w:tab w:val="clear" w:pos="4201"/>
          <w:tab w:val="clear" w:pos="9298"/>
        </w:tabs>
        <w:ind w:left="735" w:leftChars="200" w:hanging="315" w:hangingChars="150"/>
        <w:rPr>
          <w:rFonts w:hAnsi="宋体"/>
          <w:szCs w:val="21"/>
        </w:rPr>
      </w:pPr>
      <w:r>
        <w:rPr>
          <w:rFonts w:hint="eastAsia" w:hAnsi="宋体"/>
          <w:szCs w:val="21"/>
        </w:rPr>
        <w:t>通用业务管理的概念、实践，以及方针、目标和结果之间的相互关系；</w:t>
      </w:r>
    </w:p>
    <w:p w14:paraId="6AE35FD2">
      <w:pPr>
        <w:pStyle w:val="36"/>
        <w:numPr>
          <w:ilvl w:val="0"/>
          <w:numId w:val="23"/>
        </w:numPr>
        <w:tabs>
          <w:tab w:val="clear" w:pos="4201"/>
          <w:tab w:val="clear" w:pos="9298"/>
        </w:tabs>
        <w:ind w:left="735" w:leftChars="200" w:hanging="315" w:hangingChars="150"/>
        <w:rPr>
          <w:rFonts w:hAnsi="宋体"/>
          <w:szCs w:val="21"/>
        </w:rPr>
      </w:pPr>
      <w:r>
        <w:rPr>
          <w:rFonts w:hint="eastAsia" w:hAnsi="宋体"/>
          <w:szCs w:val="21"/>
        </w:rPr>
        <w:t>管理过程和相关术语。</w:t>
      </w:r>
    </w:p>
    <w:p w14:paraId="69B321B9">
      <w:pPr>
        <w:pStyle w:val="36"/>
        <w:ind w:firstLine="360"/>
        <w:rPr>
          <w:rFonts w:hAnsi="宋体"/>
          <w:sz w:val="18"/>
          <w:szCs w:val="18"/>
          <w:lang w:val="de-DE"/>
        </w:rPr>
      </w:pPr>
      <w:r>
        <w:rPr>
          <w:rFonts w:hint="eastAsia" w:ascii="黑体" w:hAnsi="黑体" w:eastAsia="黑体"/>
          <w:sz w:val="18"/>
          <w:szCs w:val="18"/>
          <w:lang w:val="de-DE"/>
        </w:rPr>
        <w:t>注：</w:t>
      </w:r>
      <w:r>
        <w:rPr>
          <w:rFonts w:hint="eastAsia" w:hAnsi="宋体"/>
          <w:sz w:val="18"/>
          <w:szCs w:val="18"/>
          <w:lang w:val="de-DE"/>
        </w:rPr>
        <w:t>这些过程也包括人力资源管理、内部沟通、外部沟通和其他的相关支持过程。</w:t>
      </w:r>
    </w:p>
    <w:p w14:paraId="16A43075">
      <w:pPr>
        <w:pStyle w:val="70"/>
        <w:numPr>
          <w:ilvl w:val="0"/>
          <w:numId w:val="0"/>
        </w:numPr>
        <w:spacing w:before="156" w:after="156"/>
        <w:rPr>
          <w:rFonts w:hAnsi="黑体"/>
        </w:rPr>
      </w:pPr>
      <w:r>
        <w:rPr>
          <w:rFonts w:hint="eastAsia" w:hAnsi="黑体"/>
        </w:rPr>
        <w:t xml:space="preserve">7.1.3.1.5 </w:t>
      </w:r>
      <w:r>
        <w:rPr>
          <w:rFonts w:hint="eastAsia" w:hAnsi="黑体"/>
          <w:lang w:val="en-US" w:eastAsia="zh-CN"/>
        </w:rPr>
        <w:t xml:space="preserve"> </w:t>
      </w:r>
      <w:r>
        <w:rPr>
          <w:rFonts w:hint="eastAsia" w:hAnsi="黑体"/>
        </w:rPr>
        <w:t>客户的业务领域</w:t>
      </w:r>
    </w:p>
    <w:p w14:paraId="05166A7E">
      <w:pPr>
        <w:pStyle w:val="36"/>
        <w:rPr>
          <w:rFonts w:hAnsi="宋体"/>
          <w:szCs w:val="21"/>
        </w:rPr>
      </w:pPr>
      <w:r>
        <w:rPr>
          <w:rFonts w:hint="eastAsia" w:hAnsi="宋体"/>
          <w:szCs w:val="21"/>
        </w:rPr>
        <w:t>ISMS审核组的</w:t>
      </w:r>
      <w:r>
        <w:rPr>
          <w:rFonts w:hint="eastAsia" w:hAnsi="宋体"/>
          <w:szCs w:val="21"/>
          <w:lang w:eastAsia="zh-CN"/>
        </w:rPr>
        <w:t>每位</w:t>
      </w:r>
      <w:r>
        <w:rPr>
          <w:rFonts w:hint="eastAsia" w:hAnsi="宋体"/>
          <w:szCs w:val="21"/>
        </w:rPr>
        <w:t>审核员应具备以下知识：</w:t>
      </w:r>
    </w:p>
    <w:p w14:paraId="2E174917">
      <w:pPr>
        <w:pStyle w:val="36"/>
        <w:numPr>
          <w:ilvl w:val="0"/>
          <w:numId w:val="24"/>
        </w:numPr>
        <w:tabs>
          <w:tab w:val="clear" w:pos="4201"/>
          <w:tab w:val="clear" w:pos="9298"/>
        </w:tabs>
        <w:ind w:left="735" w:leftChars="200" w:hanging="315" w:hangingChars="150"/>
        <w:rPr>
          <w:rFonts w:hAnsi="宋体"/>
          <w:szCs w:val="21"/>
        </w:rPr>
      </w:pPr>
      <w:r>
        <w:rPr>
          <w:rFonts w:hint="eastAsia" w:hAnsi="宋体"/>
          <w:szCs w:val="21"/>
        </w:rPr>
        <w:t>特定的信息安全领域、地域和管辖范围的法律法规要求；</w:t>
      </w:r>
    </w:p>
    <w:p w14:paraId="46AB3F97">
      <w:pPr>
        <w:pStyle w:val="36"/>
        <w:ind w:firstLine="360"/>
        <w:rPr>
          <w:rFonts w:hAnsi="宋体"/>
          <w:sz w:val="18"/>
          <w:szCs w:val="18"/>
          <w:lang w:val="de-DE"/>
        </w:rPr>
      </w:pPr>
      <w:r>
        <w:rPr>
          <w:rFonts w:hint="eastAsia" w:ascii="黑体" w:hAnsi="黑体" w:eastAsia="黑体"/>
          <w:sz w:val="18"/>
          <w:szCs w:val="18"/>
          <w:lang w:val="de-DE"/>
        </w:rPr>
        <w:t>注：</w:t>
      </w:r>
      <w:r>
        <w:rPr>
          <w:rFonts w:hint="eastAsia" w:hAnsi="宋体"/>
          <w:sz w:val="18"/>
          <w:szCs w:val="18"/>
          <w:lang w:val="de-DE"/>
        </w:rPr>
        <w:t>具备法律法规要求的知识，不意味着要有深厚的法律背景。</w:t>
      </w:r>
    </w:p>
    <w:p w14:paraId="7837A07C">
      <w:pPr>
        <w:pStyle w:val="36"/>
        <w:numPr>
          <w:ilvl w:val="0"/>
          <w:numId w:val="24"/>
        </w:numPr>
        <w:tabs>
          <w:tab w:val="clear" w:pos="4201"/>
          <w:tab w:val="clear" w:pos="9298"/>
        </w:tabs>
        <w:ind w:left="735" w:leftChars="200" w:hanging="315" w:hangingChars="150"/>
        <w:rPr>
          <w:rFonts w:hAnsi="宋体"/>
          <w:szCs w:val="21"/>
        </w:rPr>
      </w:pPr>
      <w:r>
        <w:rPr>
          <w:rFonts w:hint="eastAsia" w:hAnsi="宋体"/>
          <w:szCs w:val="21"/>
        </w:rPr>
        <w:t>与业务领域相关的信息安全风险；</w:t>
      </w:r>
    </w:p>
    <w:p w14:paraId="745E9D97">
      <w:pPr>
        <w:pStyle w:val="36"/>
        <w:numPr>
          <w:ilvl w:val="0"/>
          <w:numId w:val="24"/>
        </w:numPr>
        <w:tabs>
          <w:tab w:val="clear" w:pos="4201"/>
          <w:tab w:val="clear" w:pos="9298"/>
        </w:tabs>
        <w:ind w:left="735" w:leftChars="200" w:hanging="315" w:hangingChars="150"/>
        <w:rPr>
          <w:rFonts w:hAnsi="宋体"/>
          <w:szCs w:val="21"/>
        </w:rPr>
      </w:pPr>
      <w:r>
        <w:rPr>
          <w:rFonts w:hint="eastAsia" w:hAnsi="宋体"/>
          <w:szCs w:val="21"/>
        </w:rPr>
        <w:t>与客户业务领域相关的通用术语、过程和技术；</w:t>
      </w:r>
    </w:p>
    <w:p w14:paraId="719AACC4">
      <w:pPr>
        <w:pStyle w:val="36"/>
        <w:numPr>
          <w:ilvl w:val="0"/>
          <w:numId w:val="24"/>
        </w:numPr>
        <w:tabs>
          <w:tab w:val="clear" w:pos="4201"/>
          <w:tab w:val="clear" w:pos="9298"/>
        </w:tabs>
        <w:ind w:left="735" w:leftChars="200" w:hanging="315" w:hangingChars="150"/>
        <w:rPr>
          <w:rFonts w:hAnsi="宋体"/>
          <w:szCs w:val="21"/>
        </w:rPr>
      </w:pPr>
      <w:r>
        <w:rPr>
          <w:rFonts w:hint="eastAsia" w:hAnsi="宋体"/>
          <w:szCs w:val="21"/>
        </w:rPr>
        <w:t>相关业务领域的实践。</w:t>
      </w:r>
    </w:p>
    <w:p w14:paraId="782A31D5">
      <w:pPr>
        <w:pStyle w:val="36"/>
        <w:rPr>
          <w:rFonts w:hAnsi="宋体"/>
          <w:szCs w:val="21"/>
        </w:rPr>
      </w:pPr>
      <w:r>
        <w:rPr>
          <w:rFonts w:hint="eastAsia" w:hAnsi="宋体"/>
          <w:szCs w:val="21"/>
          <w:lang w:val="en-US" w:eastAsia="zh-CN"/>
        </w:rPr>
        <w:t>列项</w:t>
      </w:r>
      <w:r>
        <w:rPr>
          <w:rFonts w:hint="eastAsia" w:hAnsi="宋体"/>
          <w:szCs w:val="21"/>
        </w:rPr>
        <w:t>a）</w:t>
      </w:r>
      <w:r>
        <w:rPr>
          <w:rFonts w:hint="eastAsia" w:hAnsi="宋体"/>
          <w:szCs w:val="21"/>
          <w:lang w:eastAsia="zh-CN"/>
        </w:rPr>
        <w:t>的</w:t>
      </w:r>
      <w:r>
        <w:rPr>
          <w:rFonts w:hint="eastAsia" w:hAnsi="宋体"/>
          <w:szCs w:val="21"/>
          <w:lang w:val="en-US" w:eastAsia="zh-CN"/>
        </w:rPr>
        <w:t>知识</w:t>
      </w:r>
      <w:r>
        <w:rPr>
          <w:rFonts w:hint="eastAsia" w:hAnsi="宋体"/>
          <w:szCs w:val="21"/>
        </w:rPr>
        <w:t>可在审核组内共享。</w:t>
      </w:r>
    </w:p>
    <w:p w14:paraId="42F76A27">
      <w:pPr>
        <w:pStyle w:val="70"/>
        <w:numPr>
          <w:ilvl w:val="0"/>
          <w:numId w:val="0"/>
        </w:numPr>
        <w:spacing w:before="156" w:after="156"/>
        <w:rPr>
          <w:rFonts w:ascii="宋体" w:hAnsi="宋体" w:eastAsia="宋体"/>
        </w:rPr>
      </w:pPr>
      <w:r>
        <w:rPr>
          <w:rFonts w:hint="eastAsia" w:hAnsi="黑体"/>
        </w:rPr>
        <w:t xml:space="preserve">7.1.3.1.6 </w:t>
      </w:r>
      <w:r>
        <w:rPr>
          <w:rFonts w:hint="eastAsia" w:hAnsi="黑体"/>
          <w:lang w:val="en-US" w:eastAsia="zh-CN"/>
        </w:rPr>
        <w:t xml:space="preserve"> </w:t>
      </w:r>
      <w:r>
        <w:rPr>
          <w:rFonts w:hint="eastAsia" w:hAnsi="黑体"/>
        </w:rPr>
        <w:t>客户的产品、过程和组织</w:t>
      </w:r>
    </w:p>
    <w:p w14:paraId="3DF50EBF">
      <w:pPr>
        <w:pStyle w:val="36"/>
        <w:rPr>
          <w:rFonts w:hAnsi="宋体"/>
          <w:szCs w:val="21"/>
        </w:rPr>
      </w:pPr>
      <w:r>
        <w:rPr>
          <w:rFonts w:hint="eastAsia" w:hAnsi="宋体"/>
          <w:szCs w:val="21"/>
        </w:rPr>
        <w:t>审核组成员作为一个整体，应具备以下知识：</w:t>
      </w:r>
    </w:p>
    <w:p w14:paraId="69107C7F">
      <w:pPr>
        <w:pStyle w:val="36"/>
        <w:numPr>
          <w:ilvl w:val="0"/>
          <w:numId w:val="25"/>
        </w:numPr>
        <w:tabs>
          <w:tab w:val="clear" w:pos="4201"/>
          <w:tab w:val="clear" w:pos="9298"/>
        </w:tabs>
        <w:ind w:left="840" w:leftChars="200" w:hanging="420" w:hangingChars="200"/>
        <w:rPr>
          <w:rFonts w:hAnsi="宋体"/>
          <w:szCs w:val="21"/>
        </w:rPr>
      </w:pPr>
      <w:r>
        <w:rPr>
          <w:rFonts w:hint="eastAsia" w:hAnsi="宋体"/>
          <w:szCs w:val="21"/>
        </w:rPr>
        <w:t>组织类型、规模、治理、结构、职能</w:t>
      </w:r>
      <w:r>
        <w:rPr>
          <w:rFonts w:hint="eastAsia" w:hAnsi="宋体"/>
          <w:szCs w:val="21"/>
          <w:lang w:eastAsia="zh-CN"/>
        </w:rPr>
        <w:t>（</w:t>
      </w:r>
      <w:r>
        <w:rPr>
          <w:rFonts w:hint="eastAsia" w:hAnsi="宋体"/>
          <w:szCs w:val="21"/>
          <w:lang w:val="en-US" w:eastAsia="zh-CN"/>
        </w:rPr>
        <w:t>包括</w:t>
      </w:r>
      <w:r>
        <w:rPr>
          <w:rFonts w:hint="eastAsia" w:hAnsi="宋体"/>
          <w:szCs w:val="21"/>
        </w:rPr>
        <w:t>由外部提供的职能</w:t>
      </w:r>
      <w:r>
        <w:rPr>
          <w:rFonts w:hint="eastAsia" w:hAnsi="宋体"/>
          <w:szCs w:val="21"/>
          <w:lang w:eastAsia="zh-CN"/>
        </w:rPr>
        <w:t>）</w:t>
      </w:r>
      <w:r>
        <w:rPr>
          <w:rFonts w:hint="eastAsia" w:hAnsi="宋体"/>
          <w:szCs w:val="21"/>
        </w:rPr>
        <w:t>和关系对</w:t>
      </w:r>
      <w:r>
        <w:rPr>
          <w:rFonts w:hint="eastAsia" w:hAnsi="宋体"/>
          <w:szCs w:val="21"/>
          <w:lang w:val="en-US" w:eastAsia="zh-CN"/>
        </w:rPr>
        <w:t>建立和实现</w:t>
      </w:r>
      <w:r>
        <w:rPr>
          <w:rFonts w:hint="eastAsia" w:hAnsi="宋体"/>
          <w:szCs w:val="21"/>
        </w:rPr>
        <w:t>ISMS</w:t>
      </w:r>
      <w:r>
        <w:rPr>
          <w:rFonts w:hint="eastAsia" w:hAnsi="宋体"/>
          <w:szCs w:val="21"/>
          <w:lang w:val="en-US" w:eastAsia="zh-CN"/>
        </w:rPr>
        <w:t>以及</w:t>
      </w:r>
      <w:r>
        <w:rPr>
          <w:rFonts w:hint="eastAsia" w:hAnsi="宋体"/>
          <w:szCs w:val="21"/>
        </w:rPr>
        <w:t>认证活动的影响；</w:t>
      </w:r>
    </w:p>
    <w:p w14:paraId="6F94E19B">
      <w:pPr>
        <w:pStyle w:val="36"/>
        <w:numPr>
          <w:ilvl w:val="0"/>
          <w:numId w:val="25"/>
        </w:numPr>
        <w:tabs>
          <w:tab w:val="clear" w:pos="4201"/>
          <w:tab w:val="clear" w:pos="9298"/>
        </w:tabs>
        <w:ind w:left="735" w:leftChars="200" w:hanging="315" w:hangingChars="150"/>
        <w:rPr>
          <w:rFonts w:hAnsi="宋体"/>
          <w:szCs w:val="21"/>
        </w:rPr>
      </w:pPr>
      <w:r>
        <w:rPr>
          <w:rFonts w:hint="eastAsia" w:hAnsi="宋体"/>
          <w:szCs w:val="21"/>
        </w:rPr>
        <w:t>广义上的复杂运营；</w:t>
      </w:r>
    </w:p>
    <w:p w14:paraId="3A1644A8">
      <w:pPr>
        <w:pStyle w:val="36"/>
        <w:numPr>
          <w:ilvl w:val="0"/>
          <w:numId w:val="25"/>
        </w:numPr>
        <w:tabs>
          <w:tab w:val="clear" w:pos="4201"/>
          <w:tab w:val="clear" w:pos="9298"/>
        </w:tabs>
        <w:ind w:left="735" w:leftChars="200" w:hanging="315" w:hangingChars="150"/>
        <w:rPr>
          <w:rFonts w:hAnsi="宋体"/>
          <w:szCs w:val="21"/>
        </w:rPr>
      </w:pPr>
      <w:r>
        <w:rPr>
          <w:rFonts w:hint="eastAsia" w:hAnsi="宋体"/>
          <w:szCs w:val="21"/>
        </w:rPr>
        <w:t>适用于产品或服务的法律法规要求。</w:t>
      </w:r>
    </w:p>
    <w:p w14:paraId="5EA83594">
      <w:pPr>
        <w:pStyle w:val="70"/>
        <w:numPr>
          <w:ilvl w:val="0"/>
          <w:numId w:val="0"/>
        </w:numPr>
        <w:spacing w:before="156" w:after="156"/>
        <w:rPr>
          <w:rFonts w:hAnsi="黑体"/>
        </w:rPr>
      </w:pPr>
      <w:r>
        <w:rPr>
          <w:rFonts w:hint="eastAsia" w:hAnsi="黑体"/>
        </w:rPr>
        <w:t>7.1.3.2</w:t>
      </w:r>
      <w:r>
        <w:rPr>
          <w:rFonts w:hint="eastAsia" w:hAnsi="黑体"/>
          <w:lang w:val="en-US" w:eastAsia="zh-CN"/>
        </w:rPr>
        <w:t xml:space="preserve"> </w:t>
      </w:r>
      <w:r>
        <w:rPr>
          <w:rFonts w:hint="eastAsia" w:hAnsi="黑体"/>
        </w:rPr>
        <w:t xml:space="preserve"> 实施申请评审的能力要求</w:t>
      </w:r>
    </w:p>
    <w:p w14:paraId="5E0A7F88">
      <w:pPr>
        <w:pStyle w:val="70"/>
        <w:numPr>
          <w:ilvl w:val="0"/>
          <w:numId w:val="0"/>
        </w:numPr>
        <w:spacing w:before="156" w:after="156"/>
        <w:rPr>
          <w:rFonts w:hAnsi="黑体"/>
        </w:rPr>
      </w:pPr>
      <w:r>
        <w:rPr>
          <w:rFonts w:hint="eastAsia" w:hAnsi="黑体"/>
        </w:rPr>
        <w:t xml:space="preserve">7.1.3.2.1 </w:t>
      </w:r>
      <w:r>
        <w:rPr>
          <w:rFonts w:hint="eastAsia" w:hAnsi="黑体"/>
          <w:lang w:val="en-US" w:eastAsia="zh-CN"/>
        </w:rPr>
        <w:t xml:space="preserve"> </w:t>
      </w:r>
      <w:r>
        <w:rPr>
          <w:rFonts w:hint="eastAsia" w:hAnsi="黑体"/>
        </w:rPr>
        <w:t>客户的业务领域</w:t>
      </w:r>
    </w:p>
    <w:p w14:paraId="28EE5218">
      <w:pPr>
        <w:pStyle w:val="36"/>
        <w:numPr>
          <w:ilvl w:val="-1"/>
          <w:numId w:val="0"/>
        </w:numPr>
        <w:ind w:left="0" w:leftChars="0" w:firstLine="420" w:firstLineChars="200"/>
        <w:rPr>
          <w:rFonts w:hAnsi="宋体"/>
          <w:szCs w:val="21"/>
        </w:rPr>
      </w:pPr>
      <w:r>
        <w:rPr>
          <w:rFonts w:hint="eastAsia" w:hAnsi="宋体"/>
          <w:szCs w:val="21"/>
        </w:rPr>
        <w:t>实施申请评审以确定审核组所需能力、选择审核组成员并确定审核时间的人员，应具备与客户业务领域相关的通用术语、过程、技术和风险的知识。</w:t>
      </w:r>
    </w:p>
    <w:p w14:paraId="389D317E">
      <w:pPr>
        <w:pStyle w:val="70"/>
        <w:numPr>
          <w:ilvl w:val="0"/>
          <w:numId w:val="0"/>
        </w:numPr>
        <w:spacing w:before="156" w:after="156"/>
        <w:rPr>
          <w:rFonts w:hAnsi="黑体"/>
        </w:rPr>
      </w:pPr>
      <w:r>
        <w:rPr>
          <w:rFonts w:hint="eastAsia" w:hAnsi="黑体"/>
        </w:rPr>
        <w:t>7.1.3.2.2　</w:t>
      </w:r>
      <w:r>
        <w:rPr>
          <w:rFonts w:hint="eastAsia" w:hAnsi="黑体"/>
          <w:lang w:val="en-US" w:eastAsia="zh-CN"/>
        </w:rPr>
        <w:t xml:space="preserve"> </w:t>
      </w:r>
      <w:r>
        <w:rPr>
          <w:rFonts w:hint="eastAsia" w:hAnsi="黑体"/>
        </w:rPr>
        <w:t>客户的产品、过程和组织</w:t>
      </w:r>
    </w:p>
    <w:p w14:paraId="1422EC95">
      <w:pPr>
        <w:pStyle w:val="36"/>
        <w:numPr>
          <w:ilvl w:val="255"/>
          <w:numId w:val="0"/>
        </w:numPr>
        <w:ind w:firstLine="420" w:firstLineChars="200"/>
        <w:rPr>
          <w:rFonts w:hAnsi="宋体"/>
          <w:szCs w:val="21"/>
        </w:rPr>
      </w:pPr>
      <w:r>
        <w:rPr>
          <w:rFonts w:hint="eastAsia" w:hAnsi="宋体"/>
          <w:szCs w:val="21"/>
        </w:rPr>
        <w:t>实施申请评审以确定审核组所需能力、选择审核组成员并确定审核时间的人员，应具备以下知识：客户的产品、过程、组织类型、规模、治理、结构、职能（包括</w:t>
      </w:r>
      <w:r>
        <w:rPr>
          <w:rFonts w:hint="eastAsia" w:hAnsi="宋体"/>
          <w:szCs w:val="21"/>
          <w:lang w:val="en-US" w:eastAsia="zh-CN"/>
        </w:rPr>
        <w:t>由外部提供</w:t>
      </w:r>
      <w:r>
        <w:rPr>
          <w:rFonts w:hint="eastAsia" w:hAnsi="宋体"/>
          <w:szCs w:val="21"/>
        </w:rPr>
        <w:t>的职能）和关系对</w:t>
      </w:r>
      <w:r>
        <w:rPr>
          <w:rFonts w:hint="eastAsia" w:hAnsi="宋体"/>
          <w:szCs w:val="21"/>
          <w:lang w:val="en-US" w:eastAsia="zh-CN"/>
        </w:rPr>
        <w:t>建立</w:t>
      </w:r>
      <w:r>
        <w:rPr>
          <w:rFonts w:hint="eastAsia" w:hAnsi="宋体"/>
          <w:szCs w:val="21"/>
        </w:rPr>
        <w:t>和</w:t>
      </w:r>
      <w:r>
        <w:rPr>
          <w:rFonts w:hint="eastAsia" w:hAnsi="宋体"/>
          <w:szCs w:val="21"/>
          <w:lang w:val="en-US" w:eastAsia="zh-CN"/>
        </w:rPr>
        <w:t>实现</w:t>
      </w:r>
      <w:r>
        <w:rPr>
          <w:rFonts w:hint="eastAsia" w:hAnsi="宋体"/>
          <w:szCs w:val="21"/>
        </w:rPr>
        <w:t>ISMS以及认证活动的影响。</w:t>
      </w:r>
    </w:p>
    <w:p w14:paraId="2B1D657F">
      <w:pPr>
        <w:pStyle w:val="70"/>
        <w:numPr>
          <w:ilvl w:val="0"/>
          <w:numId w:val="0"/>
        </w:numPr>
        <w:spacing w:before="156" w:after="156"/>
        <w:rPr>
          <w:rFonts w:hAnsi="黑体"/>
        </w:rPr>
      </w:pPr>
      <w:r>
        <w:rPr>
          <w:rFonts w:hint="eastAsia" w:hAnsi="黑体"/>
        </w:rPr>
        <w:t>7.1.3.3</w:t>
      </w:r>
      <w:r>
        <w:rPr>
          <w:rFonts w:hint="eastAsia" w:hAnsi="黑体"/>
          <w:lang w:val="en-US" w:eastAsia="zh-CN"/>
        </w:rPr>
        <w:t xml:space="preserve">  </w:t>
      </w:r>
      <w:r>
        <w:rPr>
          <w:rFonts w:hint="eastAsia" w:hAnsi="黑体"/>
        </w:rPr>
        <w:t>复核审核报告并做出认证决定的能力要求</w:t>
      </w:r>
    </w:p>
    <w:p w14:paraId="0E705198">
      <w:pPr>
        <w:pStyle w:val="70"/>
        <w:numPr>
          <w:ilvl w:val="0"/>
          <w:numId w:val="0"/>
        </w:numPr>
        <w:spacing w:before="156" w:after="156"/>
        <w:rPr>
          <w:rFonts w:hAnsi="黑体"/>
        </w:rPr>
      </w:pPr>
      <w:r>
        <w:rPr>
          <w:rFonts w:hint="eastAsia" w:hAnsi="黑体"/>
        </w:rPr>
        <w:t xml:space="preserve">7.1.3.3.1 </w:t>
      </w:r>
      <w:r>
        <w:rPr>
          <w:rFonts w:hint="eastAsia" w:hAnsi="黑体"/>
          <w:lang w:val="en-US" w:eastAsia="zh-CN"/>
        </w:rPr>
        <w:t xml:space="preserve"> </w:t>
      </w:r>
      <w:r>
        <w:rPr>
          <w:rFonts w:hint="eastAsia" w:hAnsi="黑体"/>
        </w:rPr>
        <w:t>总则</w:t>
      </w:r>
    </w:p>
    <w:p w14:paraId="247017F5">
      <w:pPr>
        <w:pStyle w:val="36"/>
        <w:rPr>
          <w:rFonts w:hAnsi="宋体"/>
          <w:szCs w:val="21"/>
        </w:rPr>
      </w:pPr>
      <w:r>
        <w:rPr>
          <w:rFonts w:hint="eastAsia" w:hAnsi="宋体"/>
          <w:szCs w:val="21"/>
        </w:rPr>
        <w:t>复核审核报告并</w:t>
      </w:r>
      <w:r>
        <w:rPr>
          <w:rFonts w:hint="eastAsia" w:hAnsi="宋体"/>
          <w:szCs w:val="21"/>
          <w:lang w:eastAsia="zh-CN"/>
        </w:rPr>
        <w:t>做出</w:t>
      </w:r>
      <w:r>
        <w:rPr>
          <w:rFonts w:hint="eastAsia" w:hAnsi="宋体"/>
          <w:szCs w:val="21"/>
        </w:rPr>
        <w:t>认证决定的人员应具备知识，使其能够验证认证范围的适宜性、范围的变更以及变更对审核有效性的影响，特别是识别接口</w:t>
      </w:r>
      <w:r>
        <w:rPr>
          <w:rFonts w:hint="eastAsia" w:hAnsi="宋体"/>
          <w:szCs w:val="21"/>
          <w:lang w:eastAsia="zh-CN"/>
        </w:rPr>
        <w:t>、</w:t>
      </w:r>
      <w:r>
        <w:rPr>
          <w:rFonts w:hint="eastAsia" w:hAnsi="宋体"/>
          <w:szCs w:val="21"/>
        </w:rPr>
        <w:t>依赖关系</w:t>
      </w:r>
      <w:r>
        <w:rPr>
          <w:rFonts w:hint="eastAsia" w:hAnsi="宋体"/>
          <w:szCs w:val="21"/>
          <w:lang w:val="en-US" w:eastAsia="zh-CN"/>
        </w:rPr>
        <w:t>及其</w:t>
      </w:r>
      <w:r>
        <w:rPr>
          <w:rFonts w:hint="eastAsia" w:hAnsi="宋体"/>
          <w:szCs w:val="21"/>
        </w:rPr>
        <w:t>相应风险的持续有效性。</w:t>
      </w:r>
    </w:p>
    <w:p w14:paraId="08F7AC02">
      <w:pPr>
        <w:pStyle w:val="36"/>
        <w:rPr>
          <w:rFonts w:hAnsi="宋体"/>
          <w:szCs w:val="21"/>
        </w:rPr>
      </w:pPr>
      <w:r>
        <w:rPr>
          <w:rFonts w:hint="eastAsia" w:hAnsi="宋体"/>
          <w:szCs w:val="21"/>
        </w:rPr>
        <w:t>此外，复核审核报告并</w:t>
      </w:r>
      <w:r>
        <w:rPr>
          <w:rFonts w:hint="eastAsia" w:hAnsi="宋体"/>
          <w:szCs w:val="21"/>
          <w:lang w:eastAsia="zh-CN"/>
        </w:rPr>
        <w:t>做出</w:t>
      </w:r>
      <w:r>
        <w:rPr>
          <w:rFonts w:hint="eastAsia" w:hAnsi="宋体"/>
          <w:szCs w:val="21"/>
        </w:rPr>
        <w:t>认证决定的人员应具备以下知识：</w:t>
      </w:r>
    </w:p>
    <w:p w14:paraId="49C917CF">
      <w:pPr>
        <w:pStyle w:val="36"/>
        <w:numPr>
          <w:ilvl w:val="0"/>
          <w:numId w:val="26"/>
        </w:numPr>
        <w:tabs>
          <w:tab w:val="clear" w:pos="4201"/>
          <w:tab w:val="clear" w:pos="9298"/>
        </w:tabs>
        <w:ind w:left="735" w:leftChars="200" w:hanging="315" w:hangingChars="150"/>
        <w:rPr>
          <w:rFonts w:hAnsi="宋体"/>
          <w:szCs w:val="21"/>
        </w:rPr>
      </w:pPr>
      <w:r>
        <w:rPr>
          <w:rFonts w:hAnsi="宋体"/>
          <w:szCs w:val="21"/>
        </w:rPr>
        <w:t>通用的管理体系</w:t>
      </w:r>
      <w:r>
        <w:rPr>
          <w:rFonts w:hint="eastAsia" w:hAnsi="宋体"/>
          <w:szCs w:val="21"/>
        </w:rPr>
        <w:t>；</w:t>
      </w:r>
    </w:p>
    <w:p w14:paraId="1852B0C8">
      <w:pPr>
        <w:pStyle w:val="36"/>
        <w:numPr>
          <w:ilvl w:val="0"/>
          <w:numId w:val="26"/>
        </w:numPr>
        <w:tabs>
          <w:tab w:val="clear" w:pos="4201"/>
          <w:tab w:val="clear" w:pos="9298"/>
        </w:tabs>
        <w:ind w:left="735" w:leftChars="200" w:hanging="315" w:hangingChars="150"/>
        <w:rPr>
          <w:rFonts w:hAnsi="宋体"/>
          <w:szCs w:val="21"/>
        </w:rPr>
      </w:pPr>
      <w:r>
        <w:rPr>
          <w:rFonts w:hint="eastAsia" w:hAnsi="宋体"/>
          <w:szCs w:val="21"/>
        </w:rPr>
        <w:t>审核过程和程序。</w:t>
      </w:r>
    </w:p>
    <w:p w14:paraId="091078F7">
      <w:pPr>
        <w:pStyle w:val="70"/>
        <w:numPr>
          <w:ilvl w:val="0"/>
          <w:numId w:val="0"/>
        </w:numPr>
        <w:spacing w:before="156" w:after="156"/>
        <w:rPr>
          <w:rFonts w:ascii="宋体" w:hAnsi="宋体" w:eastAsia="宋体"/>
        </w:rPr>
      </w:pPr>
      <w:r>
        <w:rPr>
          <w:rFonts w:hint="eastAsia" w:hAnsi="黑体"/>
        </w:rPr>
        <w:t>7.1.3.3.2</w:t>
      </w:r>
      <w:r>
        <w:rPr>
          <w:rFonts w:hint="eastAsia" w:hAnsi="黑体"/>
          <w:lang w:val="en-US" w:eastAsia="zh-CN"/>
        </w:rPr>
        <w:t xml:space="preserve">  </w:t>
      </w:r>
      <w:r>
        <w:rPr>
          <w:rFonts w:hint="eastAsia" w:hAnsi="黑体"/>
        </w:rPr>
        <w:t>信息安全管理术语、原则、实践和技术</w:t>
      </w:r>
    </w:p>
    <w:p w14:paraId="05D652AE">
      <w:pPr>
        <w:pStyle w:val="36"/>
        <w:rPr>
          <w:rFonts w:hAnsi="宋体"/>
          <w:szCs w:val="21"/>
        </w:rPr>
      </w:pPr>
      <w:r>
        <w:rPr>
          <w:rFonts w:hint="eastAsia" w:hAnsi="宋体"/>
          <w:szCs w:val="21"/>
        </w:rPr>
        <w:t>复核审核报告并</w:t>
      </w:r>
      <w:r>
        <w:rPr>
          <w:rFonts w:hint="eastAsia" w:hAnsi="宋体"/>
          <w:szCs w:val="21"/>
          <w:lang w:eastAsia="zh-CN"/>
        </w:rPr>
        <w:t>做出</w:t>
      </w:r>
      <w:r>
        <w:rPr>
          <w:rFonts w:hint="eastAsia" w:hAnsi="宋体"/>
          <w:szCs w:val="21"/>
        </w:rPr>
        <w:t>认证决定的人员，应具备以下知识：</w:t>
      </w:r>
    </w:p>
    <w:p w14:paraId="3842DD1A">
      <w:pPr>
        <w:pStyle w:val="36"/>
        <w:numPr>
          <w:ilvl w:val="0"/>
          <w:numId w:val="27"/>
        </w:numPr>
        <w:tabs>
          <w:tab w:val="clear" w:pos="4201"/>
          <w:tab w:val="clear" w:pos="9298"/>
        </w:tabs>
        <w:ind w:left="735" w:leftChars="200" w:hanging="315" w:hangingChars="150"/>
        <w:rPr>
          <w:rFonts w:hAnsi="宋体"/>
          <w:szCs w:val="21"/>
        </w:rPr>
      </w:pPr>
      <w:r>
        <w:rPr>
          <w:rFonts w:hint="eastAsia" w:hAnsi="宋体"/>
          <w:szCs w:val="21"/>
        </w:rPr>
        <w:t>7.1.3.1.2中的a）、b）、c）；</w:t>
      </w:r>
    </w:p>
    <w:p w14:paraId="57E49FA8">
      <w:pPr>
        <w:pStyle w:val="36"/>
        <w:numPr>
          <w:ilvl w:val="0"/>
          <w:numId w:val="27"/>
        </w:numPr>
        <w:tabs>
          <w:tab w:val="clear" w:pos="4201"/>
          <w:tab w:val="clear" w:pos="9298"/>
        </w:tabs>
        <w:ind w:left="735" w:leftChars="200" w:hanging="315" w:hangingChars="150"/>
        <w:rPr>
          <w:rFonts w:hAnsi="宋体"/>
          <w:szCs w:val="21"/>
        </w:rPr>
      </w:pPr>
      <w:r>
        <w:rPr>
          <w:rFonts w:hint="eastAsia" w:hAnsi="宋体"/>
          <w:szCs w:val="21"/>
        </w:rPr>
        <w:t>与信息安全相关的法律法规要求。</w:t>
      </w:r>
    </w:p>
    <w:p w14:paraId="345F9B95">
      <w:pPr>
        <w:pStyle w:val="70"/>
        <w:numPr>
          <w:ilvl w:val="0"/>
          <w:numId w:val="0"/>
        </w:numPr>
        <w:spacing w:before="156" w:after="156"/>
        <w:rPr>
          <w:rFonts w:hAnsi="黑体"/>
        </w:rPr>
      </w:pPr>
      <w:r>
        <w:rPr>
          <w:rFonts w:hint="eastAsia" w:hAnsi="黑体"/>
        </w:rPr>
        <w:t>7.1.3.3.3</w:t>
      </w:r>
      <w:r>
        <w:rPr>
          <w:rFonts w:hint="eastAsia" w:hAnsi="黑体"/>
          <w:lang w:val="en-US" w:eastAsia="zh-CN"/>
        </w:rPr>
        <w:t xml:space="preserve">  </w:t>
      </w:r>
      <w:r>
        <w:rPr>
          <w:rFonts w:hint="eastAsia" w:hAnsi="黑体"/>
        </w:rPr>
        <w:t>客户的业务领域</w:t>
      </w:r>
    </w:p>
    <w:p w14:paraId="40F0CD1F">
      <w:pPr>
        <w:pStyle w:val="36"/>
        <w:numPr>
          <w:ilvl w:val="255"/>
          <w:numId w:val="0"/>
        </w:numPr>
        <w:ind w:firstLine="420" w:firstLineChars="200"/>
        <w:rPr>
          <w:rFonts w:hAnsi="宋体"/>
          <w:szCs w:val="21"/>
        </w:rPr>
      </w:pPr>
      <w:r>
        <w:rPr>
          <w:rFonts w:hint="eastAsia" w:hAnsi="宋体"/>
          <w:szCs w:val="21"/>
        </w:rPr>
        <w:t>复核审核报告并</w:t>
      </w:r>
      <w:r>
        <w:rPr>
          <w:rFonts w:hint="eastAsia" w:hAnsi="宋体"/>
          <w:szCs w:val="21"/>
          <w:lang w:eastAsia="zh-CN"/>
        </w:rPr>
        <w:t>做出</w:t>
      </w:r>
      <w:r>
        <w:rPr>
          <w:rFonts w:hint="eastAsia" w:hAnsi="宋体"/>
          <w:szCs w:val="21"/>
        </w:rPr>
        <w:t>认证决定的人员，应具备与相关业务领域实践有关的通用术语和风险的知识。</w:t>
      </w:r>
    </w:p>
    <w:p w14:paraId="51A836A9">
      <w:pPr>
        <w:pStyle w:val="70"/>
        <w:numPr>
          <w:ilvl w:val="0"/>
          <w:numId w:val="0"/>
        </w:numPr>
        <w:spacing w:before="156" w:after="156"/>
        <w:rPr>
          <w:rFonts w:hAnsi="黑体"/>
        </w:rPr>
      </w:pPr>
      <w:r>
        <w:rPr>
          <w:rFonts w:hint="eastAsia" w:hAnsi="黑体"/>
        </w:rPr>
        <w:t>7.1.3.3.4　客户的产品、过程和组织</w:t>
      </w:r>
    </w:p>
    <w:p w14:paraId="6573D1A9">
      <w:pPr>
        <w:pStyle w:val="36"/>
        <w:numPr>
          <w:ilvl w:val="255"/>
          <w:numId w:val="0"/>
        </w:numPr>
        <w:ind w:firstLine="420" w:firstLineChars="200"/>
        <w:rPr>
          <w:rFonts w:hAnsi="宋体"/>
          <w:szCs w:val="21"/>
        </w:rPr>
      </w:pPr>
      <w:r>
        <w:rPr>
          <w:rFonts w:hint="eastAsia" w:hAnsi="宋体"/>
          <w:szCs w:val="21"/>
        </w:rPr>
        <w:t>复核审核报告并</w:t>
      </w:r>
      <w:r>
        <w:rPr>
          <w:rFonts w:hint="eastAsia" w:hAnsi="宋体"/>
          <w:szCs w:val="21"/>
          <w:lang w:eastAsia="zh-CN"/>
        </w:rPr>
        <w:t>做出</w:t>
      </w:r>
      <w:r>
        <w:rPr>
          <w:rFonts w:hint="eastAsia" w:hAnsi="宋体"/>
          <w:szCs w:val="21"/>
        </w:rPr>
        <w:t>认证决定的人员，应具备客户的产品、过程、组织类型、规模、治理、结构、职能和关系的知识。</w:t>
      </w:r>
    </w:p>
    <w:p w14:paraId="6201A554">
      <w:pPr>
        <w:pStyle w:val="66"/>
        <w:numPr>
          <w:ilvl w:val="2"/>
          <w:numId w:val="19"/>
        </w:numPr>
        <w:spacing w:before="156" w:after="156"/>
        <w:rPr>
          <w:rFonts w:hAnsi="黑体"/>
        </w:rPr>
      </w:pPr>
      <w:bookmarkStart w:id="219" w:name="_Toc434010454"/>
      <w:bookmarkStart w:id="220" w:name="_Toc11182"/>
      <w:bookmarkStart w:id="221" w:name="_Toc496168564"/>
      <w:bookmarkStart w:id="222" w:name="_Toc27345"/>
      <w:r>
        <w:rPr>
          <w:rFonts w:hint="eastAsia" w:hAnsi="黑体"/>
        </w:rPr>
        <w:t>参与认证活动的人员</w:t>
      </w:r>
      <w:bookmarkEnd w:id="219"/>
      <w:bookmarkEnd w:id="220"/>
      <w:bookmarkEnd w:id="221"/>
      <w:bookmarkEnd w:id="222"/>
    </w:p>
    <w:p w14:paraId="253C19D1">
      <w:pPr>
        <w:pStyle w:val="70"/>
        <w:numPr>
          <w:ilvl w:val="0"/>
          <w:numId w:val="0"/>
        </w:numPr>
        <w:spacing w:before="156" w:after="156"/>
        <w:rPr>
          <w:rFonts w:hAnsi="黑体"/>
        </w:rPr>
      </w:pPr>
      <w:r>
        <w:rPr>
          <w:rFonts w:hint="eastAsia" w:hAnsi="黑体"/>
        </w:rPr>
        <w:t xml:space="preserve">7.2.1 </w:t>
      </w:r>
      <w:r>
        <w:rPr>
          <w:rFonts w:hint="eastAsia" w:hAnsi="黑体"/>
          <w:lang w:val="en-US" w:eastAsia="zh-CN"/>
        </w:rPr>
        <w:t xml:space="preserve"> </w:t>
      </w:r>
      <w:r>
        <w:rPr>
          <w:rFonts w:hint="eastAsia" w:hAnsi="黑体"/>
        </w:rPr>
        <w:t>总则</w:t>
      </w:r>
    </w:p>
    <w:p w14:paraId="2FFCD250">
      <w:pPr>
        <w:pStyle w:val="36"/>
        <w:rPr>
          <w:rFonts w:hAnsi="宋体"/>
          <w:szCs w:val="21"/>
          <w:lang w:val="de-DE"/>
        </w:rPr>
      </w:pPr>
      <w:r>
        <w:rPr>
          <w:rFonts w:hint="eastAsia" w:hAnsi="宋体"/>
          <w:szCs w:val="21"/>
          <w:lang w:val="de-DE"/>
        </w:rPr>
        <w:t>GB/T 27021.1</w:t>
      </w:r>
      <w:r>
        <w:rPr>
          <w:rFonts w:hint="eastAsia"/>
        </w:rPr>
        <w:t>—</w:t>
      </w:r>
      <w:r>
        <w:rPr>
          <w:rFonts w:hint="eastAsia" w:hAnsi="宋体"/>
          <w:szCs w:val="21"/>
          <w:lang w:val="de-DE"/>
        </w:rPr>
        <w:t>201</w:t>
      </w:r>
      <w:r>
        <w:rPr>
          <w:rFonts w:hAnsi="宋体"/>
          <w:szCs w:val="21"/>
          <w:lang w:val="de-DE"/>
        </w:rPr>
        <w:t>7</w:t>
      </w:r>
      <w:r>
        <w:rPr>
          <w:rFonts w:hint="eastAsia" w:hAnsi="宋体"/>
          <w:szCs w:val="21"/>
          <w:lang w:val="de-DE"/>
        </w:rPr>
        <w:t>中7.2的</w:t>
      </w:r>
      <w:r>
        <w:rPr>
          <w:rFonts w:hint="eastAsia" w:hAnsi="宋体"/>
          <w:szCs w:val="21"/>
        </w:rPr>
        <w:t>要求</w:t>
      </w:r>
      <w:r>
        <w:rPr>
          <w:rFonts w:hint="eastAsia" w:hAnsi="宋体"/>
          <w:szCs w:val="21"/>
          <w:lang w:val="de-DE"/>
        </w:rPr>
        <w:t>适用。并且，</w:t>
      </w:r>
      <w:r>
        <w:rPr>
          <w:rFonts w:hint="eastAsia" w:hAnsi="宋体"/>
          <w:szCs w:val="21"/>
        </w:rPr>
        <w:t>7.2.2的</w:t>
      </w:r>
      <w:r>
        <w:rPr>
          <w:rFonts w:hint="eastAsia" w:hAnsi="宋体"/>
          <w:szCs w:val="21"/>
          <w:lang w:val="de-DE"/>
        </w:rPr>
        <w:t>要求和指南适用。</w:t>
      </w:r>
    </w:p>
    <w:p w14:paraId="32CD1283">
      <w:pPr>
        <w:pStyle w:val="70"/>
        <w:numPr>
          <w:ilvl w:val="0"/>
          <w:numId w:val="0"/>
        </w:numPr>
        <w:spacing w:before="156" w:after="156"/>
        <w:rPr>
          <w:rFonts w:hAnsi="黑体"/>
        </w:rPr>
      </w:pPr>
      <w:r>
        <w:rPr>
          <w:rFonts w:hint="eastAsia" w:hAnsi="黑体"/>
        </w:rPr>
        <w:t>7.2.2</w:t>
      </w:r>
      <w:r>
        <w:rPr>
          <w:rFonts w:hint="eastAsia" w:hAnsi="黑体"/>
          <w:lang w:val="en-US" w:eastAsia="zh-CN"/>
        </w:rPr>
        <w:t xml:space="preserve"> </w:t>
      </w:r>
      <w:r>
        <w:rPr>
          <w:rFonts w:hint="eastAsia" w:hAnsi="黑体"/>
        </w:rPr>
        <w:t xml:space="preserve"> 证实审核员的知识和经验</w:t>
      </w:r>
    </w:p>
    <w:p w14:paraId="6E58AACE">
      <w:pPr>
        <w:pStyle w:val="70"/>
        <w:numPr>
          <w:ilvl w:val="0"/>
          <w:numId w:val="0"/>
        </w:numPr>
        <w:spacing w:before="156" w:after="156"/>
        <w:rPr>
          <w:rFonts w:hAnsi="黑体"/>
        </w:rPr>
      </w:pPr>
      <w:r>
        <w:rPr>
          <w:rFonts w:hint="eastAsia" w:hAnsi="黑体"/>
        </w:rPr>
        <w:t>7.2.2.1</w:t>
      </w:r>
      <w:r>
        <w:rPr>
          <w:rFonts w:hint="eastAsia" w:hAnsi="黑体"/>
          <w:lang w:val="en-US" w:eastAsia="zh-CN"/>
        </w:rPr>
        <w:t xml:space="preserve"> </w:t>
      </w:r>
      <w:r>
        <w:rPr>
          <w:rFonts w:hint="eastAsia" w:hAnsi="黑体"/>
        </w:rPr>
        <w:t xml:space="preserve"> 总体考虑</w:t>
      </w:r>
    </w:p>
    <w:p w14:paraId="1A9A24D0">
      <w:pPr>
        <w:pStyle w:val="36"/>
        <w:rPr>
          <w:rFonts w:hAnsi="宋体"/>
          <w:szCs w:val="21"/>
          <w:lang w:val="de-DE"/>
        </w:rPr>
      </w:pPr>
      <w:r>
        <w:rPr>
          <w:rFonts w:hint="eastAsia" w:hAnsi="宋体"/>
          <w:szCs w:val="21"/>
          <w:lang w:val="de-DE"/>
        </w:rPr>
        <w:t>认证</w:t>
      </w:r>
      <w:r>
        <w:rPr>
          <w:rFonts w:hint="eastAsia" w:hAnsi="宋体"/>
          <w:szCs w:val="21"/>
        </w:rPr>
        <w:t>机构</w:t>
      </w:r>
      <w:r>
        <w:rPr>
          <w:rFonts w:hint="eastAsia" w:hAnsi="宋体"/>
          <w:szCs w:val="21"/>
          <w:lang w:val="de-DE"/>
        </w:rPr>
        <w:t>应通过以下</w:t>
      </w:r>
      <w:r>
        <w:rPr>
          <w:rFonts w:hint="eastAsia" w:hAnsi="宋体"/>
          <w:szCs w:val="21"/>
        </w:rPr>
        <w:t>方式</w:t>
      </w:r>
      <w:r>
        <w:rPr>
          <w:rFonts w:hint="eastAsia" w:hAnsi="宋体"/>
          <w:szCs w:val="21"/>
          <w:lang w:val="de-DE"/>
        </w:rPr>
        <w:t>来证实</w:t>
      </w:r>
      <w:r>
        <w:rPr>
          <w:rFonts w:hint="eastAsia" w:hAnsi="宋体"/>
          <w:szCs w:val="21"/>
          <w:lang w:eastAsia="zh-CN"/>
        </w:rPr>
        <w:t>每位</w:t>
      </w:r>
      <w:r>
        <w:rPr>
          <w:rFonts w:hint="eastAsia" w:hAnsi="宋体"/>
          <w:szCs w:val="21"/>
          <w:lang w:val="de-DE"/>
        </w:rPr>
        <w:t>审核员</w:t>
      </w:r>
      <w:r>
        <w:rPr>
          <w:rFonts w:hint="eastAsia" w:hAnsi="宋体"/>
          <w:szCs w:val="21"/>
          <w:lang w:val="en-US" w:eastAsia="zh-CN"/>
        </w:rPr>
        <w:t>均</w:t>
      </w:r>
      <w:r>
        <w:rPr>
          <w:rFonts w:hint="eastAsia" w:hAnsi="宋体"/>
          <w:szCs w:val="21"/>
          <w:lang w:val="de-DE"/>
        </w:rPr>
        <w:t>具备知识和经验：</w:t>
      </w:r>
    </w:p>
    <w:p w14:paraId="14A1C9D3">
      <w:pPr>
        <w:pStyle w:val="85"/>
        <w:numPr>
          <w:ilvl w:val="0"/>
          <w:numId w:val="28"/>
        </w:numPr>
        <w:ind w:left="735" w:leftChars="200" w:hanging="315" w:hangingChars="150"/>
        <w:rPr>
          <w:rFonts w:hAnsi="宋体"/>
          <w:szCs w:val="21"/>
        </w:rPr>
      </w:pPr>
      <w:r>
        <w:rPr>
          <w:rFonts w:hint="eastAsia" w:hAnsi="宋体"/>
          <w:szCs w:val="21"/>
          <w:lang w:val="de-DE"/>
        </w:rPr>
        <w:t>获得</w:t>
      </w:r>
      <w:r>
        <w:rPr>
          <w:rFonts w:hint="eastAsia" w:hAnsi="宋体"/>
          <w:szCs w:val="21"/>
        </w:rPr>
        <w:t>承认</w:t>
      </w:r>
      <w:r>
        <w:rPr>
          <w:rFonts w:hint="eastAsia" w:hAnsi="宋体"/>
          <w:szCs w:val="21"/>
          <w:lang w:val="de-DE"/>
        </w:rPr>
        <w:t>的ISMS特</w:t>
      </w:r>
      <w:r>
        <w:rPr>
          <w:rFonts w:hint="eastAsia" w:hAnsi="宋体"/>
          <w:szCs w:val="21"/>
        </w:rPr>
        <w:t>定资格；</w:t>
      </w:r>
    </w:p>
    <w:p w14:paraId="1D71267C">
      <w:pPr>
        <w:pStyle w:val="85"/>
        <w:numPr>
          <w:ilvl w:val="0"/>
          <w:numId w:val="28"/>
        </w:numPr>
        <w:ind w:left="735" w:leftChars="200" w:hanging="315" w:hangingChars="150"/>
        <w:rPr>
          <w:rFonts w:hAnsi="宋体"/>
          <w:szCs w:val="21"/>
        </w:rPr>
      </w:pPr>
      <w:r>
        <w:rPr>
          <w:rFonts w:hint="eastAsia" w:hAnsi="宋体"/>
          <w:szCs w:val="21"/>
        </w:rPr>
        <w:t>适用时，注册为审核员；</w:t>
      </w:r>
    </w:p>
    <w:p w14:paraId="3F44B87D">
      <w:pPr>
        <w:pStyle w:val="85"/>
        <w:numPr>
          <w:ilvl w:val="0"/>
          <w:numId w:val="28"/>
        </w:numPr>
        <w:ind w:left="735" w:leftChars="200" w:hanging="315" w:hangingChars="150"/>
        <w:rPr>
          <w:rFonts w:hAnsi="宋体"/>
          <w:szCs w:val="21"/>
        </w:rPr>
      </w:pPr>
      <w:r>
        <w:rPr>
          <w:rFonts w:hint="eastAsia" w:hAnsi="宋体"/>
          <w:szCs w:val="21"/>
        </w:rPr>
        <w:t>参加</w:t>
      </w:r>
      <w:r>
        <w:rPr>
          <w:rFonts w:hint="eastAsia" w:hAnsi="宋体"/>
          <w:szCs w:val="21"/>
          <w:lang w:val="de-DE"/>
        </w:rPr>
        <w:t>ISMS培训课</w:t>
      </w:r>
      <w:r>
        <w:rPr>
          <w:rFonts w:hint="eastAsia" w:hAnsi="宋体"/>
          <w:szCs w:val="21"/>
        </w:rPr>
        <w:t>程并获得相关的个人</w:t>
      </w:r>
      <w:r>
        <w:rPr>
          <w:rFonts w:hint="eastAsia" w:hAnsi="宋体"/>
          <w:szCs w:val="21"/>
          <w:lang w:val="en-US" w:eastAsia="zh-CN"/>
        </w:rPr>
        <w:t>资格</w:t>
      </w:r>
      <w:r>
        <w:rPr>
          <w:rFonts w:hint="eastAsia" w:hAnsi="宋体"/>
          <w:szCs w:val="21"/>
        </w:rPr>
        <w:t>；</w:t>
      </w:r>
    </w:p>
    <w:p w14:paraId="65931E31">
      <w:pPr>
        <w:pStyle w:val="85"/>
        <w:numPr>
          <w:ilvl w:val="0"/>
          <w:numId w:val="28"/>
        </w:numPr>
        <w:ind w:left="735" w:leftChars="200" w:hanging="315" w:hangingChars="150"/>
        <w:rPr>
          <w:rFonts w:hAnsi="宋体"/>
          <w:szCs w:val="21"/>
        </w:rPr>
      </w:pPr>
      <w:r>
        <w:rPr>
          <w:rFonts w:hint="eastAsia" w:hAnsi="宋体"/>
          <w:szCs w:val="21"/>
        </w:rPr>
        <w:t>最新的专业发展记录；</w:t>
      </w:r>
    </w:p>
    <w:p w14:paraId="5A0CCC7A">
      <w:pPr>
        <w:pStyle w:val="85"/>
        <w:numPr>
          <w:ilvl w:val="0"/>
          <w:numId w:val="28"/>
        </w:numPr>
        <w:ind w:left="735" w:leftChars="200" w:hanging="315" w:hangingChars="150"/>
        <w:rPr>
          <w:rFonts w:hAnsi="宋体"/>
          <w:szCs w:val="21"/>
        </w:rPr>
      </w:pPr>
      <w:r>
        <w:rPr>
          <w:rFonts w:hint="eastAsia" w:hAnsi="宋体"/>
          <w:szCs w:val="21"/>
        </w:rPr>
        <w:t>由另</w:t>
      </w:r>
      <w:r>
        <w:rPr>
          <w:rFonts w:hint="eastAsia" w:hAnsi="宋体"/>
          <w:szCs w:val="21"/>
          <w:lang w:eastAsia="zh-CN"/>
        </w:rPr>
        <w:t>一位</w:t>
      </w:r>
      <w:r>
        <w:rPr>
          <w:rFonts w:hint="eastAsia" w:hAnsi="宋体"/>
          <w:szCs w:val="21"/>
        </w:rPr>
        <w:t>ISMS审核员见证ISMS审核活动。</w:t>
      </w:r>
    </w:p>
    <w:p w14:paraId="33B62794">
      <w:pPr>
        <w:pStyle w:val="70"/>
        <w:numPr>
          <w:ilvl w:val="0"/>
          <w:numId w:val="0"/>
        </w:numPr>
        <w:spacing w:before="156" w:after="156"/>
        <w:rPr>
          <w:rFonts w:hAnsi="黑体"/>
        </w:rPr>
      </w:pPr>
      <w:r>
        <w:rPr>
          <w:rFonts w:hint="eastAsia" w:hAnsi="黑体"/>
        </w:rPr>
        <w:t xml:space="preserve">7.2.2.2　选择审核员 </w:t>
      </w:r>
    </w:p>
    <w:p w14:paraId="09BC455A">
      <w:pPr>
        <w:pStyle w:val="36"/>
        <w:rPr>
          <w:rFonts w:hAnsi="宋体"/>
          <w:szCs w:val="21"/>
          <w:lang w:val="de-DE"/>
        </w:rPr>
      </w:pPr>
      <w:r>
        <w:rPr>
          <w:rFonts w:hint="eastAsia" w:hAnsi="宋体"/>
          <w:szCs w:val="21"/>
          <w:lang w:val="de-DE"/>
        </w:rPr>
        <w:t>除7.1.</w:t>
      </w:r>
      <w:r>
        <w:rPr>
          <w:rFonts w:hint="eastAsia" w:hAnsi="宋体"/>
          <w:szCs w:val="21"/>
        </w:rPr>
        <w:t>3</w:t>
      </w:r>
      <w:r>
        <w:rPr>
          <w:rFonts w:hint="eastAsia" w:hAnsi="宋体"/>
          <w:szCs w:val="21"/>
          <w:lang w:val="de-DE"/>
        </w:rPr>
        <w:t>.1之外，审核员的</w:t>
      </w:r>
      <w:r>
        <w:rPr>
          <w:rFonts w:hint="eastAsia" w:hAnsi="宋体"/>
          <w:szCs w:val="21"/>
        </w:rPr>
        <w:t>选择过程</w:t>
      </w:r>
      <w:r>
        <w:rPr>
          <w:rFonts w:hint="eastAsia" w:hAnsi="宋体"/>
          <w:szCs w:val="21"/>
          <w:lang w:val="de-DE"/>
        </w:rPr>
        <w:t>应确保每位审核员：</w:t>
      </w:r>
    </w:p>
    <w:p w14:paraId="623CCB0C">
      <w:pPr>
        <w:pStyle w:val="85"/>
        <w:numPr>
          <w:ilvl w:val="0"/>
          <w:numId w:val="29"/>
        </w:numPr>
        <w:rPr>
          <w:rFonts w:hAnsi="宋体"/>
          <w:szCs w:val="21"/>
        </w:rPr>
      </w:pPr>
      <w:r>
        <w:rPr>
          <w:rFonts w:hint="eastAsia" w:hAnsi="宋体"/>
          <w:szCs w:val="21"/>
        </w:rPr>
        <w:t>具备相当于大学水平的专业教育或培训；</w:t>
      </w:r>
    </w:p>
    <w:p w14:paraId="15FB3CC4">
      <w:pPr>
        <w:pStyle w:val="85"/>
        <w:numPr>
          <w:ilvl w:val="0"/>
          <w:numId w:val="29"/>
        </w:numPr>
        <w:rPr>
          <w:rFonts w:hAnsi="宋体"/>
          <w:szCs w:val="21"/>
        </w:rPr>
      </w:pPr>
      <w:r>
        <w:rPr>
          <w:rFonts w:hint="eastAsia" w:hAnsi="宋体"/>
          <w:szCs w:val="21"/>
        </w:rPr>
        <w:t>具备信息技术和信息安全方面的实际工作</w:t>
      </w:r>
      <w:r>
        <w:rPr>
          <w:rFonts w:hint="eastAsia" w:hAnsi="宋体"/>
          <w:szCs w:val="21"/>
          <w:lang w:val="en-US" w:eastAsia="zh-CN"/>
        </w:rPr>
        <w:t>经历且</w:t>
      </w:r>
      <w:r>
        <w:rPr>
          <w:rFonts w:hint="eastAsia" w:hAnsi="宋体"/>
          <w:szCs w:val="21"/>
        </w:rPr>
        <w:t>该工作</w:t>
      </w:r>
      <w:r>
        <w:rPr>
          <w:rFonts w:hint="eastAsia" w:hAnsi="宋体"/>
          <w:szCs w:val="21"/>
          <w:lang w:val="en-US" w:eastAsia="zh-CN"/>
        </w:rPr>
        <w:t>经历</w:t>
      </w:r>
      <w:r>
        <w:rPr>
          <w:rFonts w:hint="eastAsia" w:hAnsi="宋体"/>
          <w:szCs w:val="21"/>
        </w:rPr>
        <w:t>足以担任ISMS审核员；</w:t>
      </w:r>
    </w:p>
    <w:p w14:paraId="43A47775">
      <w:pPr>
        <w:pStyle w:val="85"/>
        <w:numPr>
          <w:ilvl w:val="0"/>
          <w:numId w:val="29"/>
        </w:numPr>
        <w:rPr>
          <w:rFonts w:hAnsi="宋体"/>
          <w:szCs w:val="21"/>
        </w:rPr>
      </w:pPr>
      <w:r>
        <w:rPr>
          <w:rFonts w:hint="eastAsia" w:hAnsi="宋体"/>
          <w:szCs w:val="21"/>
        </w:rPr>
        <w:t>接受了充足</w:t>
      </w:r>
      <w:r>
        <w:rPr>
          <w:rFonts w:hint="eastAsia" w:hAnsi="宋体"/>
          <w:szCs w:val="21"/>
          <w:lang w:eastAsia="zh-CN"/>
        </w:rPr>
        <w:t>的</w:t>
      </w:r>
      <w:r>
        <w:rPr>
          <w:rFonts w:hint="eastAsia" w:hAnsi="宋体"/>
          <w:szCs w:val="21"/>
        </w:rPr>
        <w:t>ISMS审核培训，且已证实具备依据GB/T 22080</w:t>
      </w:r>
      <w:r>
        <w:rPr>
          <w:rFonts w:hint="eastAsia"/>
        </w:rPr>
        <w:t>—</w:t>
      </w:r>
      <w:r>
        <w:rPr>
          <w:rFonts w:hint="eastAsia" w:hAnsi="宋体"/>
          <w:szCs w:val="21"/>
        </w:rPr>
        <w:t>20</w:t>
      </w:r>
      <w:r>
        <w:rPr>
          <w:rFonts w:hint="eastAsia" w:hAnsi="宋体"/>
          <w:szCs w:val="21"/>
          <w:lang w:val="en-US" w:eastAsia="zh-CN"/>
        </w:rPr>
        <w:t>2X</w:t>
      </w:r>
      <w:r>
        <w:rPr>
          <w:rFonts w:hint="eastAsia" w:hAnsi="宋体"/>
          <w:szCs w:val="21"/>
        </w:rPr>
        <w:t>实施ISMS审核的技能。作为实习审核员，在ISMS评价人员（见GB/T 27021.1—2017,9.2.2.1.4）的监督下，应至少实施1次ISMS初次认证审核（第一阶段和第二阶段）或再认证审核和1次监督审核。审核</w:t>
      </w:r>
      <w:r>
        <w:rPr>
          <w:rFonts w:hint="eastAsia" w:hAnsi="宋体"/>
          <w:szCs w:val="21"/>
          <w:lang w:val="en-US" w:eastAsia="zh-CN"/>
        </w:rPr>
        <w:t>经历</w:t>
      </w:r>
      <w:r>
        <w:rPr>
          <w:rFonts w:hint="eastAsia" w:hAnsi="宋体"/>
          <w:szCs w:val="21"/>
        </w:rPr>
        <w:t>应不低于10个ISMS现场审核人</w:t>
      </w:r>
      <w:r>
        <w:rPr>
          <w:rFonts w:hint="eastAsia" w:hAnsi="宋体"/>
          <w:szCs w:val="21"/>
          <w:lang w:val="en-US" w:eastAsia="zh-CN"/>
        </w:rPr>
        <w:t>日</w:t>
      </w:r>
      <w:r>
        <w:rPr>
          <w:rFonts w:hint="eastAsia" w:hAnsi="宋体"/>
          <w:szCs w:val="21"/>
        </w:rPr>
        <w:t>且应在近5年内获得。</w:t>
      </w:r>
      <w:r>
        <w:rPr>
          <w:rFonts w:hint="eastAsia" w:hAnsi="宋体"/>
          <w:szCs w:val="21"/>
          <w:lang w:val="en-US" w:eastAsia="zh-CN"/>
        </w:rPr>
        <w:t>参与的</w:t>
      </w:r>
      <w:r>
        <w:rPr>
          <w:rFonts w:hint="eastAsia" w:hAnsi="宋体"/>
          <w:szCs w:val="21"/>
        </w:rPr>
        <w:t>审核</w:t>
      </w:r>
      <w:r>
        <w:rPr>
          <w:rFonts w:hint="eastAsia" w:hAnsi="宋体"/>
          <w:szCs w:val="21"/>
          <w:lang w:val="en-US" w:eastAsia="zh-CN"/>
        </w:rPr>
        <w:t>活动</w:t>
      </w:r>
      <w:r>
        <w:rPr>
          <w:rFonts w:hint="eastAsia" w:hAnsi="宋体"/>
          <w:szCs w:val="21"/>
        </w:rPr>
        <w:t>应包括</w:t>
      </w:r>
      <w:r>
        <w:rPr>
          <w:rFonts w:hint="eastAsia" w:hAnsi="宋体"/>
          <w:szCs w:val="21"/>
          <w:lang w:val="en-US" w:eastAsia="zh-CN"/>
        </w:rPr>
        <w:t>实施文件评审、审核</w:t>
      </w:r>
      <w:r>
        <w:rPr>
          <w:rFonts w:hint="eastAsia" w:hAnsi="宋体"/>
          <w:szCs w:val="21"/>
        </w:rPr>
        <w:t>风险评估</w:t>
      </w:r>
      <w:r>
        <w:rPr>
          <w:rFonts w:hint="eastAsia" w:hAnsi="宋体"/>
          <w:szCs w:val="21"/>
          <w:lang w:val="en-US" w:eastAsia="zh-CN"/>
        </w:rPr>
        <w:t>及其</w:t>
      </w:r>
      <w:r>
        <w:rPr>
          <w:rFonts w:hint="eastAsia" w:hAnsi="宋体"/>
          <w:szCs w:val="21"/>
        </w:rPr>
        <w:t>实施和报告审核情况；</w:t>
      </w:r>
    </w:p>
    <w:p w14:paraId="7B6CB361">
      <w:pPr>
        <w:pStyle w:val="85"/>
        <w:numPr>
          <w:ilvl w:val="0"/>
          <w:numId w:val="29"/>
        </w:numPr>
        <w:rPr>
          <w:rFonts w:hAnsi="宋体"/>
          <w:szCs w:val="21"/>
        </w:rPr>
      </w:pPr>
      <w:r>
        <w:rPr>
          <w:rFonts w:hAnsi="宋体"/>
          <w:szCs w:val="21"/>
        </w:rPr>
        <w:t>保持</w:t>
      </w:r>
      <w:r>
        <w:rPr>
          <w:rFonts w:hint="eastAsia" w:hAnsi="宋体"/>
          <w:szCs w:val="21"/>
          <w:lang w:val="en-US" w:eastAsia="zh-CN"/>
        </w:rPr>
        <w:t>与</w:t>
      </w:r>
      <w:r>
        <w:rPr>
          <w:rFonts w:hint="eastAsia" w:hAnsi="宋体"/>
          <w:szCs w:val="21"/>
        </w:rPr>
        <w:t>信息安全和审核相关</w:t>
      </w:r>
      <w:r>
        <w:rPr>
          <w:rFonts w:hint="eastAsia" w:hAnsi="宋体"/>
          <w:szCs w:val="21"/>
          <w:lang w:eastAsia="zh-CN"/>
        </w:rPr>
        <w:t>的</w:t>
      </w:r>
      <w:r>
        <w:rPr>
          <w:rFonts w:hint="eastAsia" w:hAnsi="宋体"/>
          <w:szCs w:val="21"/>
        </w:rPr>
        <w:t>最新知识</w:t>
      </w:r>
      <w:r>
        <w:rPr>
          <w:rFonts w:hint="eastAsia" w:hAnsi="宋体"/>
          <w:szCs w:val="21"/>
          <w:lang w:val="en-US" w:eastAsia="zh-CN"/>
        </w:rPr>
        <w:t>和</w:t>
      </w:r>
      <w:r>
        <w:rPr>
          <w:rFonts w:hint="eastAsia" w:hAnsi="宋体"/>
          <w:szCs w:val="21"/>
        </w:rPr>
        <w:t>技能。</w:t>
      </w:r>
    </w:p>
    <w:p w14:paraId="1CAB9B08">
      <w:pPr>
        <w:pStyle w:val="36"/>
        <w:ind w:firstLine="360"/>
        <w:rPr>
          <w:rFonts w:ascii="黑体" w:hAnsi="黑体" w:eastAsia="黑体"/>
          <w:sz w:val="18"/>
          <w:szCs w:val="18"/>
          <w:lang w:val="de-DE"/>
        </w:rPr>
      </w:pPr>
      <w:r>
        <w:rPr>
          <w:rFonts w:hint="eastAsia" w:ascii="黑体" w:hAnsi="黑体" w:eastAsia="黑体"/>
          <w:sz w:val="18"/>
          <w:szCs w:val="18"/>
          <w:lang w:val="de-DE"/>
        </w:rPr>
        <w:t>注1：</w:t>
      </w:r>
      <w:r>
        <w:rPr>
          <w:rFonts w:hint="eastAsia" w:ascii="宋体" w:hAnsi="宋体" w:eastAsia="宋体" w:cs="宋体"/>
          <w:sz w:val="18"/>
          <w:szCs w:val="18"/>
          <w:lang w:val="de-DE" w:eastAsia="zh-CN"/>
        </w:rPr>
        <w:t>参加</w:t>
      </w:r>
      <w:r>
        <w:rPr>
          <w:rFonts w:hint="eastAsia" w:hAnsi="宋体" w:cs="宋体"/>
          <w:sz w:val="18"/>
          <w:szCs w:val="18"/>
          <w:lang w:val="de-DE"/>
        </w:rPr>
        <w:t>持续专业发展</w:t>
      </w:r>
      <w:r>
        <w:rPr>
          <w:rFonts w:hint="eastAsia" w:hAnsi="宋体" w:cs="宋体"/>
          <w:sz w:val="18"/>
          <w:szCs w:val="18"/>
          <w:lang w:val="en-US" w:eastAsia="zh-CN"/>
        </w:rPr>
        <w:t>活动</w:t>
      </w:r>
      <w:r>
        <w:rPr>
          <w:rFonts w:hint="eastAsia" w:hAnsi="宋体" w:cs="宋体"/>
          <w:sz w:val="18"/>
          <w:szCs w:val="18"/>
          <w:lang w:val="de-DE"/>
        </w:rPr>
        <w:t>能证实技能的保持。</w:t>
      </w:r>
    </w:p>
    <w:p w14:paraId="307F63C5">
      <w:pPr>
        <w:pStyle w:val="36"/>
        <w:ind w:firstLine="360"/>
        <w:rPr>
          <w:rFonts w:hint="eastAsia" w:hAnsi="宋体" w:eastAsia="宋体" w:cs="宋体"/>
          <w:sz w:val="18"/>
          <w:szCs w:val="18"/>
          <w:lang w:val="de-DE" w:eastAsia="zh-CN"/>
        </w:rPr>
      </w:pPr>
      <w:r>
        <w:rPr>
          <w:rFonts w:hint="eastAsia" w:ascii="黑体" w:hAnsi="黑体" w:eastAsia="黑体"/>
          <w:sz w:val="18"/>
          <w:szCs w:val="18"/>
          <w:lang w:val="de-DE"/>
        </w:rPr>
        <w:t>注2：</w:t>
      </w:r>
      <w:r>
        <w:rPr>
          <w:rFonts w:hint="eastAsia" w:hAnsi="宋体" w:cs="宋体"/>
          <w:sz w:val="18"/>
          <w:szCs w:val="18"/>
          <w:lang w:val="de-DE"/>
        </w:rPr>
        <w:t>认证机构要将上述要求和证据关联到其能力准则清单（见GB/T 27021.1—2017,7.1.2）</w:t>
      </w:r>
      <w:r>
        <w:rPr>
          <w:rFonts w:hint="eastAsia" w:hAnsi="宋体" w:cs="宋体"/>
          <w:sz w:val="18"/>
          <w:szCs w:val="18"/>
          <w:lang w:val="de-DE" w:eastAsia="zh-CN"/>
        </w:rPr>
        <w:t>。</w:t>
      </w:r>
    </w:p>
    <w:p w14:paraId="56D55EA1">
      <w:pPr>
        <w:pStyle w:val="70"/>
        <w:numPr>
          <w:ilvl w:val="0"/>
          <w:numId w:val="0"/>
        </w:numPr>
        <w:spacing w:before="156" w:after="156"/>
        <w:rPr>
          <w:rFonts w:hAnsi="黑体"/>
        </w:rPr>
      </w:pPr>
      <w:r>
        <w:rPr>
          <w:rFonts w:hint="eastAsia" w:hAnsi="黑体"/>
        </w:rPr>
        <w:t>7.2.2.3</w:t>
      </w:r>
      <w:r>
        <w:rPr>
          <w:rFonts w:hint="eastAsia" w:hAnsi="黑体"/>
          <w:lang w:val="en-US" w:eastAsia="zh-CN"/>
        </w:rPr>
        <w:t xml:space="preserve"> </w:t>
      </w:r>
      <w:r>
        <w:rPr>
          <w:rFonts w:hint="eastAsia" w:hAnsi="黑体"/>
        </w:rPr>
        <w:t xml:space="preserve"> 选择技术专家</w:t>
      </w:r>
    </w:p>
    <w:p w14:paraId="4F680E94">
      <w:pPr>
        <w:pStyle w:val="36"/>
      </w:pPr>
      <w:r>
        <w:rPr>
          <w:rFonts w:hint="eastAsia"/>
        </w:rPr>
        <w:t>技术专家的选择过程应确保</w:t>
      </w:r>
      <w:r>
        <w:rPr>
          <w:rFonts w:hint="eastAsia"/>
          <w:lang w:eastAsia="zh-CN"/>
        </w:rPr>
        <w:t>每位</w:t>
      </w:r>
      <w:r>
        <w:rPr>
          <w:rFonts w:hint="eastAsia"/>
        </w:rPr>
        <w:t>技术专家：</w:t>
      </w:r>
    </w:p>
    <w:p w14:paraId="087CCC85">
      <w:pPr>
        <w:pStyle w:val="36"/>
        <w:numPr>
          <w:ilvl w:val="0"/>
          <w:numId w:val="30"/>
        </w:numPr>
      </w:pPr>
      <w:r>
        <w:rPr>
          <w:rFonts w:hint="eastAsia"/>
        </w:rPr>
        <w:t>具备相当于大学水平的专业教育或培训；</w:t>
      </w:r>
    </w:p>
    <w:p w14:paraId="6FA488EC">
      <w:pPr>
        <w:pStyle w:val="36"/>
        <w:numPr>
          <w:ilvl w:val="0"/>
          <w:numId w:val="30"/>
        </w:numPr>
      </w:pPr>
      <w:r>
        <w:rPr>
          <w:rFonts w:hint="eastAsia"/>
        </w:rPr>
        <w:t>具备信息技术和信息安全方面的实际工作</w:t>
      </w:r>
      <w:r>
        <w:rPr>
          <w:rFonts w:hint="eastAsia"/>
          <w:lang w:val="en-US" w:eastAsia="zh-CN"/>
        </w:rPr>
        <w:t>经历且</w:t>
      </w:r>
      <w:r>
        <w:rPr>
          <w:rFonts w:hint="eastAsia"/>
        </w:rPr>
        <w:t>该工作</w:t>
      </w:r>
      <w:r>
        <w:rPr>
          <w:rFonts w:hint="eastAsia"/>
          <w:lang w:val="en-US" w:eastAsia="zh-CN"/>
        </w:rPr>
        <w:t>经历</w:t>
      </w:r>
      <w:r>
        <w:rPr>
          <w:rFonts w:hint="eastAsia"/>
        </w:rPr>
        <w:t>足以担任技术专家；</w:t>
      </w:r>
    </w:p>
    <w:p w14:paraId="27F8B716">
      <w:pPr>
        <w:pStyle w:val="36"/>
        <w:numPr>
          <w:ilvl w:val="0"/>
          <w:numId w:val="30"/>
        </w:numPr>
      </w:pPr>
      <w:r>
        <w:rPr>
          <w:rFonts w:hint="eastAsia"/>
        </w:rPr>
        <w:t>保持</w:t>
      </w:r>
      <w:r>
        <w:rPr>
          <w:rFonts w:hint="eastAsia"/>
          <w:lang w:val="en-US" w:eastAsia="zh-CN"/>
        </w:rPr>
        <w:t>与</w:t>
      </w:r>
      <w:r>
        <w:rPr>
          <w:rFonts w:hint="eastAsia"/>
        </w:rPr>
        <w:t>信息安全相关</w:t>
      </w:r>
      <w:r>
        <w:rPr>
          <w:rFonts w:hint="eastAsia"/>
          <w:lang w:eastAsia="zh-CN"/>
        </w:rPr>
        <w:t>的</w:t>
      </w:r>
      <w:r>
        <w:rPr>
          <w:rFonts w:hint="eastAsia"/>
        </w:rPr>
        <w:t>最新知识</w:t>
      </w:r>
      <w:r>
        <w:rPr>
          <w:rFonts w:hint="eastAsia"/>
          <w:lang w:val="en-US" w:eastAsia="zh-CN"/>
        </w:rPr>
        <w:t>和</w:t>
      </w:r>
      <w:r>
        <w:rPr>
          <w:rFonts w:hint="eastAsia"/>
        </w:rPr>
        <w:t>技能。</w:t>
      </w:r>
    </w:p>
    <w:p w14:paraId="5D7EC97C">
      <w:pPr>
        <w:pStyle w:val="36"/>
        <w:ind w:firstLine="360"/>
      </w:pPr>
      <w:r>
        <w:rPr>
          <w:rFonts w:hint="eastAsia" w:ascii="黑体" w:hAnsi="黑体" w:eastAsia="黑体"/>
          <w:sz w:val="18"/>
          <w:szCs w:val="18"/>
          <w:lang w:val="de-DE"/>
        </w:rPr>
        <w:t>注：</w:t>
      </w:r>
      <w:r>
        <w:rPr>
          <w:rFonts w:hint="eastAsia" w:ascii="宋体" w:hAnsi="宋体" w:eastAsia="宋体" w:cs="宋体"/>
          <w:sz w:val="18"/>
          <w:szCs w:val="18"/>
          <w:lang w:val="de-DE" w:eastAsia="zh-CN"/>
        </w:rPr>
        <w:t>参加</w:t>
      </w:r>
      <w:r>
        <w:rPr>
          <w:rFonts w:hint="eastAsia" w:hAnsi="宋体" w:cs="宋体"/>
          <w:sz w:val="18"/>
          <w:szCs w:val="18"/>
          <w:lang w:val="de-DE"/>
        </w:rPr>
        <w:t>持续专业发展</w:t>
      </w:r>
      <w:r>
        <w:rPr>
          <w:rFonts w:hint="eastAsia" w:hAnsi="宋体" w:cs="宋体"/>
          <w:sz w:val="18"/>
          <w:szCs w:val="18"/>
          <w:lang w:val="en-US" w:eastAsia="zh-CN"/>
        </w:rPr>
        <w:t>活动</w:t>
      </w:r>
      <w:r>
        <w:rPr>
          <w:rFonts w:hint="eastAsia" w:hAnsi="宋体" w:cs="宋体"/>
          <w:sz w:val="18"/>
          <w:szCs w:val="18"/>
          <w:lang w:val="de-DE"/>
        </w:rPr>
        <w:t>能证实技能的保持。</w:t>
      </w:r>
    </w:p>
    <w:p w14:paraId="0CF0956D">
      <w:pPr>
        <w:pStyle w:val="70"/>
        <w:numPr>
          <w:ilvl w:val="0"/>
          <w:numId w:val="0"/>
        </w:numPr>
        <w:spacing w:before="156" w:after="156"/>
        <w:rPr>
          <w:rFonts w:hAnsi="黑体"/>
        </w:rPr>
      </w:pPr>
      <w:r>
        <w:rPr>
          <w:rFonts w:hint="eastAsia" w:hAnsi="黑体"/>
        </w:rPr>
        <w:t>7.2.2.4　选择领导审核组的审核员</w:t>
      </w:r>
    </w:p>
    <w:p w14:paraId="56F907FF">
      <w:pPr>
        <w:pStyle w:val="36"/>
        <w:rPr>
          <w:rFonts w:hAnsi="宋体"/>
          <w:szCs w:val="21"/>
          <w:lang w:val="de-DE"/>
        </w:rPr>
      </w:pPr>
      <w:r>
        <w:rPr>
          <w:rFonts w:hint="eastAsia" w:hAnsi="宋体"/>
          <w:szCs w:val="21"/>
          <w:lang w:val="de-DE"/>
        </w:rPr>
        <w:t>除7.2.2</w:t>
      </w:r>
      <w:r>
        <w:rPr>
          <w:rFonts w:hint="eastAsia" w:hAnsi="宋体"/>
          <w:szCs w:val="21"/>
          <w:lang w:val="en-US" w:eastAsia="zh-CN"/>
        </w:rPr>
        <w:t>.2</w:t>
      </w:r>
      <w:r>
        <w:rPr>
          <w:rFonts w:hint="eastAsia" w:hAnsi="宋体"/>
          <w:szCs w:val="21"/>
          <w:lang w:val="de-DE"/>
        </w:rPr>
        <w:t>外，领导审核组的审核员的选择准则应确保审核员已</w:t>
      </w:r>
      <w:r>
        <w:rPr>
          <w:rFonts w:hint="eastAsia" w:hAnsi="宋体"/>
          <w:szCs w:val="21"/>
          <w:lang w:val="en-US" w:eastAsia="zh-CN"/>
        </w:rPr>
        <w:t>实质性</w:t>
      </w:r>
      <w:r>
        <w:rPr>
          <w:rFonts w:hint="eastAsia" w:hAnsi="宋体"/>
          <w:szCs w:val="21"/>
          <w:lang w:val="de-DE"/>
        </w:rPr>
        <w:t>参加了至少3次ISMS审核</w:t>
      </w:r>
      <w:r>
        <w:rPr>
          <w:rFonts w:hint="eastAsia" w:hAnsi="宋体"/>
          <w:szCs w:val="21"/>
          <w:lang w:val="de-DE" w:eastAsia="zh-CN"/>
        </w:rPr>
        <w:t>，</w:t>
      </w:r>
      <w:r>
        <w:rPr>
          <w:rFonts w:hint="eastAsia" w:hAnsi="宋体"/>
          <w:szCs w:val="21"/>
          <w:lang w:val="en-US" w:eastAsia="zh-CN"/>
        </w:rPr>
        <w:t>且覆盖审核</w:t>
      </w:r>
      <w:r>
        <w:rPr>
          <w:rFonts w:hint="eastAsia" w:hAnsi="宋体"/>
          <w:szCs w:val="21"/>
          <w:lang w:val="de-DE"/>
        </w:rPr>
        <w:t>的所有阶段。参与的</w:t>
      </w:r>
      <w:r>
        <w:rPr>
          <w:rFonts w:hint="eastAsia" w:hAnsi="宋体"/>
          <w:szCs w:val="21"/>
        </w:rPr>
        <w:t>审核</w:t>
      </w:r>
      <w:r>
        <w:rPr>
          <w:rFonts w:hint="eastAsia" w:hAnsi="宋体"/>
          <w:szCs w:val="21"/>
          <w:lang w:val="de-DE"/>
        </w:rPr>
        <w:t>活动应</w:t>
      </w:r>
      <w:r>
        <w:rPr>
          <w:rFonts w:hint="eastAsia" w:hAnsi="宋体"/>
          <w:szCs w:val="21"/>
          <w:lang w:val="en-US" w:eastAsia="zh-CN"/>
        </w:rPr>
        <w:t>包括识别初始</w:t>
      </w:r>
      <w:r>
        <w:rPr>
          <w:rFonts w:hint="eastAsia" w:hAnsi="宋体"/>
          <w:szCs w:val="21"/>
          <w:lang w:val="de-DE"/>
        </w:rPr>
        <w:t>范围</w:t>
      </w:r>
      <w:r>
        <w:rPr>
          <w:rFonts w:hint="eastAsia" w:hAnsi="宋体"/>
          <w:szCs w:val="21"/>
          <w:lang w:val="de-DE" w:eastAsia="zh-CN"/>
        </w:rPr>
        <w:t>、</w:t>
      </w:r>
      <w:r>
        <w:rPr>
          <w:rFonts w:hint="eastAsia" w:hAnsi="宋体"/>
          <w:szCs w:val="21"/>
          <w:lang w:val="de-DE"/>
        </w:rPr>
        <w:t>策划、</w:t>
      </w:r>
      <w:r>
        <w:rPr>
          <w:rFonts w:hint="eastAsia" w:hAnsi="宋体"/>
          <w:szCs w:val="21"/>
          <w:lang w:val="en-US" w:eastAsia="zh-CN"/>
        </w:rPr>
        <w:t>实施文件评审</w:t>
      </w:r>
      <w:r>
        <w:rPr>
          <w:rFonts w:hint="eastAsia" w:hAnsi="宋体"/>
          <w:szCs w:val="21"/>
          <w:lang w:val="de-DE"/>
        </w:rPr>
        <w:t>、</w:t>
      </w:r>
      <w:r>
        <w:rPr>
          <w:rFonts w:hint="eastAsia" w:hAnsi="宋体"/>
          <w:szCs w:val="21"/>
          <w:lang w:val="en-US" w:eastAsia="zh-CN"/>
        </w:rPr>
        <w:t>审核</w:t>
      </w:r>
      <w:r>
        <w:rPr>
          <w:rFonts w:hint="eastAsia" w:hAnsi="宋体"/>
          <w:szCs w:val="21"/>
          <w:lang w:val="de-DE"/>
        </w:rPr>
        <w:t>风险评估及其实施和正式地报告审核情况。</w:t>
      </w:r>
    </w:p>
    <w:p w14:paraId="4727E92A">
      <w:pPr>
        <w:pStyle w:val="66"/>
        <w:numPr>
          <w:ilvl w:val="2"/>
          <w:numId w:val="19"/>
        </w:numPr>
        <w:spacing w:before="156" w:after="156"/>
        <w:rPr>
          <w:rFonts w:hAnsi="黑体"/>
        </w:rPr>
      </w:pPr>
      <w:bookmarkStart w:id="223" w:name="_Toc25454"/>
      <w:bookmarkStart w:id="224" w:name="_Toc496168565"/>
      <w:bookmarkStart w:id="225" w:name="_Toc434010456"/>
      <w:bookmarkStart w:id="226" w:name="_Toc13528"/>
      <w:r>
        <w:rPr>
          <w:rFonts w:hint="eastAsia" w:hAnsi="黑体"/>
        </w:rPr>
        <w:t>外部审核员和外部技术专家的使用</w:t>
      </w:r>
      <w:bookmarkEnd w:id="223"/>
      <w:bookmarkEnd w:id="224"/>
      <w:bookmarkEnd w:id="225"/>
      <w:bookmarkEnd w:id="226"/>
    </w:p>
    <w:p w14:paraId="10994AD2">
      <w:pPr>
        <w:ind w:firstLine="420" w:firstLineChars="200"/>
        <w:jc w:val="left"/>
        <w:rPr>
          <w:rFonts w:ascii="宋体" w:hAnsi="宋体"/>
          <w:lang w:val="de-DE"/>
        </w:rPr>
      </w:pPr>
      <w:r>
        <w:rPr>
          <w:rFonts w:hint="eastAsia" w:hAnsi="宋体"/>
          <w:szCs w:val="21"/>
          <w:lang w:val="de-DE"/>
        </w:rPr>
        <w:t>GB/T 27021.1</w:t>
      </w:r>
      <w:r>
        <w:rPr>
          <w:rFonts w:hint="eastAsia"/>
        </w:rPr>
        <w:t>—</w:t>
      </w:r>
      <w:r>
        <w:rPr>
          <w:rFonts w:hint="eastAsia" w:hAnsi="宋体"/>
          <w:szCs w:val="21"/>
          <w:lang w:val="de-DE"/>
        </w:rPr>
        <w:t>201</w:t>
      </w:r>
      <w:r>
        <w:rPr>
          <w:rFonts w:hAnsi="宋体"/>
          <w:szCs w:val="21"/>
          <w:lang w:val="de-DE"/>
        </w:rPr>
        <w:t>7</w:t>
      </w:r>
      <w:r>
        <w:rPr>
          <w:rFonts w:hint="eastAsia" w:hAnsi="宋体"/>
          <w:szCs w:val="21"/>
          <w:lang w:val="de-DE"/>
        </w:rPr>
        <w:t>中7.3的要求适用</w:t>
      </w:r>
      <w:r>
        <w:rPr>
          <w:rFonts w:hint="eastAsia" w:ascii="宋体" w:hAnsi="宋体"/>
          <w:lang w:val="de-DE"/>
        </w:rPr>
        <w:t>。</w:t>
      </w:r>
    </w:p>
    <w:p w14:paraId="1D72CE85">
      <w:pPr>
        <w:pStyle w:val="66"/>
        <w:numPr>
          <w:ilvl w:val="2"/>
          <w:numId w:val="19"/>
        </w:numPr>
        <w:spacing w:before="156" w:after="156"/>
        <w:rPr>
          <w:rFonts w:hAnsi="黑体"/>
        </w:rPr>
      </w:pPr>
      <w:bookmarkStart w:id="227" w:name="_Toc496168566"/>
      <w:bookmarkStart w:id="228" w:name="_Toc6950"/>
      <w:bookmarkStart w:id="229" w:name="_Toc32070"/>
      <w:bookmarkStart w:id="230" w:name="_Toc434010460"/>
      <w:r>
        <w:rPr>
          <w:rFonts w:hint="eastAsia" w:hAnsi="黑体"/>
        </w:rPr>
        <w:t>人员记录</w:t>
      </w:r>
      <w:bookmarkEnd w:id="227"/>
      <w:bookmarkEnd w:id="228"/>
      <w:bookmarkEnd w:id="229"/>
      <w:bookmarkEnd w:id="230"/>
    </w:p>
    <w:p w14:paraId="6FB5C406">
      <w:pPr>
        <w:pStyle w:val="36"/>
        <w:rPr>
          <w:rFonts w:hAnsi="宋体"/>
          <w:szCs w:val="21"/>
        </w:rPr>
      </w:pPr>
      <w:r>
        <w:rPr>
          <w:rFonts w:hint="eastAsia" w:hAnsi="宋体"/>
          <w:szCs w:val="21"/>
          <w:lang w:val="de-DE"/>
        </w:rPr>
        <w:t>GB/T 27021.1</w:t>
      </w:r>
      <w:r>
        <w:rPr>
          <w:rFonts w:hint="eastAsia"/>
        </w:rPr>
        <w:t>—</w:t>
      </w:r>
      <w:r>
        <w:rPr>
          <w:rFonts w:hint="eastAsia" w:hAnsi="宋体"/>
          <w:szCs w:val="21"/>
          <w:lang w:val="de-DE"/>
        </w:rPr>
        <w:t>201</w:t>
      </w:r>
      <w:r>
        <w:rPr>
          <w:rFonts w:hAnsi="宋体"/>
          <w:szCs w:val="21"/>
          <w:lang w:val="de-DE"/>
        </w:rPr>
        <w:t>7</w:t>
      </w:r>
      <w:r>
        <w:rPr>
          <w:rFonts w:hint="eastAsia" w:hAnsi="宋体"/>
          <w:szCs w:val="21"/>
          <w:lang w:val="de-DE"/>
        </w:rPr>
        <w:t>中7.4的要求适用</w:t>
      </w:r>
      <w:r>
        <w:rPr>
          <w:rFonts w:hint="eastAsia" w:hAnsi="宋体"/>
          <w:szCs w:val="21"/>
        </w:rPr>
        <w:t>。</w:t>
      </w:r>
    </w:p>
    <w:p w14:paraId="26108B55">
      <w:pPr>
        <w:pStyle w:val="66"/>
        <w:numPr>
          <w:ilvl w:val="2"/>
          <w:numId w:val="19"/>
        </w:numPr>
        <w:spacing w:before="156" w:after="156"/>
        <w:rPr>
          <w:rFonts w:hAnsi="黑体"/>
        </w:rPr>
      </w:pPr>
      <w:bookmarkStart w:id="231" w:name="_Toc434010461"/>
      <w:bookmarkStart w:id="232" w:name="_Toc28991"/>
      <w:bookmarkStart w:id="233" w:name="_Toc4267"/>
      <w:bookmarkStart w:id="234" w:name="_Toc496168567"/>
      <w:r>
        <w:rPr>
          <w:rFonts w:hint="eastAsia" w:hAnsi="黑体"/>
        </w:rPr>
        <w:t>外包</w:t>
      </w:r>
      <w:bookmarkEnd w:id="231"/>
      <w:bookmarkEnd w:id="232"/>
      <w:bookmarkEnd w:id="233"/>
      <w:bookmarkEnd w:id="234"/>
    </w:p>
    <w:p w14:paraId="464BEAA7">
      <w:pPr>
        <w:ind w:firstLine="420" w:firstLineChars="200"/>
        <w:jc w:val="left"/>
        <w:rPr>
          <w:rFonts w:ascii="宋体" w:hAnsi="宋体"/>
          <w:szCs w:val="21"/>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中7.5的要求适用</w:t>
      </w:r>
      <w:r>
        <w:rPr>
          <w:rFonts w:hint="eastAsia" w:ascii="宋体" w:hAnsi="宋体"/>
          <w:szCs w:val="21"/>
        </w:rPr>
        <w:t>。</w:t>
      </w:r>
    </w:p>
    <w:p w14:paraId="27C5F4D8">
      <w:pPr>
        <w:pStyle w:val="69"/>
        <w:numPr>
          <w:ilvl w:val="1"/>
          <w:numId w:val="19"/>
        </w:numPr>
        <w:spacing w:before="312" w:after="312"/>
        <w:ind w:left="0"/>
      </w:pPr>
      <w:bookmarkStart w:id="235" w:name="_Toc4450"/>
      <w:bookmarkStart w:id="236" w:name="_Toc496168568"/>
      <w:bookmarkStart w:id="237" w:name="_Toc1826"/>
      <w:bookmarkStart w:id="238" w:name="_Toc434010462"/>
      <w:r>
        <w:rPr>
          <w:rFonts w:hint="eastAsia"/>
        </w:rPr>
        <w:t>信息要求</w:t>
      </w:r>
      <w:bookmarkEnd w:id="235"/>
      <w:bookmarkEnd w:id="236"/>
      <w:bookmarkEnd w:id="237"/>
      <w:bookmarkEnd w:id="238"/>
    </w:p>
    <w:p w14:paraId="6372DE76">
      <w:pPr>
        <w:pStyle w:val="66"/>
        <w:numPr>
          <w:ilvl w:val="2"/>
          <w:numId w:val="19"/>
        </w:numPr>
        <w:tabs>
          <w:tab w:val="left" w:pos="360"/>
        </w:tabs>
        <w:spacing w:before="156" w:after="156"/>
        <w:rPr>
          <w:rFonts w:hAnsi="黑体"/>
        </w:rPr>
      </w:pPr>
      <w:bookmarkStart w:id="239" w:name="_Toc28090"/>
      <w:bookmarkStart w:id="240" w:name="_Toc15138"/>
      <w:bookmarkStart w:id="241" w:name="_Toc434010463"/>
      <w:bookmarkStart w:id="242" w:name="_Toc496168569"/>
      <w:r>
        <w:rPr>
          <w:rFonts w:hint="eastAsia" w:hAnsi="黑体"/>
        </w:rPr>
        <w:t>公开信息</w:t>
      </w:r>
      <w:bookmarkEnd w:id="239"/>
      <w:bookmarkEnd w:id="240"/>
      <w:bookmarkEnd w:id="241"/>
      <w:bookmarkEnd w:id="242"/>
    </w:p>
    <w:p w14:paraId="7BDEC90D">
      <w:pPr>
        <w:ind w:firstLine="420" w:firstLineChars="200"/>
        <w:jc w:val="left"/>
        <w:rPr>
          <w:rFonts w:ascii="宋体" w:hAnsi="宋体"/>
          <w:szCs w:val="21"/>
          <w:lang w:val="de-DE"/>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中8.1的要求适用。</w:t>
      </w:r>
    </w:p>
    <w:p w14:paraId="052E8A83">
      <w:pPr>
        <w:pStyle w:val="66"/>
        <w:numPr>
          <w:ilvl w:val="2"/>
          <w:numId w:val="19"/>
        </w:numPr>
        <w:tabs>
          <w:tab w:val="left" w:pos="360"/>
        </w:tabs>
        <w:spacing w:before="156" w:after="156"/>
        <w:rPr>
          <w:rFonts w:hAnsi="黑体"/>
        </w:rPr>
      </w:pPr>
      <w:bookmarkStart w:id="243" w:name="_Toc434010464"/>
      <w:bookmarkStart w:id="244" w:name="_Toc2843"/>
      <w:bookmarkStart w:id="245" w:name="_Toc496168570"/>
      <w:bookmarkStart w:id="246" w:name="_Toc2089"/>
      <w:r>
        <w:rPr>
          <w:rFonts w:hint="eastAsia" w:hAnsi="黑体"/>
        </w:rPr>
        <w:t>认证文件</w:t>
      </w:r>
      <w:bookmarkEnd w:id="243"/>
      <w:bookmarkEnd w:id="244"/>
      <w:bookmarkEnd w:id="245"/>
      <w:bookmarkEnd w:id="246"/>
    </w:p>
    <w:p w14:paraId="797A00A9">
      <w:pPr>
        <w:pStyle w:val="70"/>
        <w:numPr>
          <w:ilvl w:val="0"/>
          <w:numId w:val="0"/>
        </w:numPr>
        <w:spacing w:before="156" w:after="156"/>
        <w:rPr>
          <w:rFonts w:hAnsi="黑体"/>
        </w:rPr>
      </w:pPr>
      <w:r>
        <w:rPr>
          <w:rFonts w:hint="eastAsia" w:hAnsi="黑体"/>
        </w:rPr>
        <w:t xml:space="preserve">8.2.1 </w:t>
      </w:r>
      <w:r>
        <w:rPr>
          <w:rFonts w:hint="eastAsia" w:hAnsi="黑体"/>
          <w:lang w:val="en-US" w:eastAsia="zh-CN"/>
        </w:rPr>
        <w:t xml:space="preserve"> </w:t>
      </w:r>
      <w:r>
        <w:rPr>
          <w:rFonts w:hint="eastAsia" w:hAnsi="黑体"/>
        </w:rPr>
        <w:t>总则</w:t>
      </w:r>
    </w:p>
    <w:p w14:paraId="66BFEEA4">
      <w:pPr>
        <w:ind w:firstLine="420" w:firstLineChars="200"/>
        <w:jc w:val="left"/>
        <w:rPr>
          <w:rFonts w:ascii="宋体" w:hAnsi="宋体"/>
          <w:szCs w:val="21"/>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中8.2的要求适用。并且，</w:t>
      </w:r>
      <w:r>
        <w:rPr>
          <w:rFonts w:hint="eastAsia" w:ascii="宋体" w:hAnsi="宋体"/>
          <w:kern w:val="0"/>
          <w:szCs w:val="21"/>
        </w:rPr>
        <w:t>8.2.2和8.2.3的</w:t>
      </w:r>
      <w:r>
        <w:rPr>
          <w:rFonts w:hint="eastAsia" w:ascii="宋体" w:hAnsi="宋体"/>
          <w:kern w:val="0"/>
          <w:szCs w:val="21"/>
          <w:lang w:val="de-DE"/>
        </w:rPr>
        <w:t>要求和指南适用</w:t>
      </w:r>
      <w:r>
        <w:rPr>
          <w:rFonts w:hint="eastAsia" w:ascii="宋体" w:hAnsi="宋体"/>
          <w:szCs w:val="21"/>
        </w:rPr>
        <w:t>。</w:t>
      </w:r>
    </w:p>
    <w:p w14:paraId="0A9EF616">
      <w:pPr>
        <w:pStyle w:val="70"/>
        <w:numPr>
          <w:ilvl w:val="0"/>
          <w:numId w:val="0"/>
        </w:numPr>
        <w:spacing w:before="156" w:after="156"/>
        <w:rPr>
          <w:rFonts w:hAnsi="黑体"/>
        </w:rPr>
      </w:pPr>
      <w:r>
        <w:rPr>
          <w:rFonts w:hint="eastAsia" w:hAnsi="黑体"/>
        </w:rPr>
        <w:t xml:space="preserve">8.2.2 </w:t>
      </w:r>
      <w:r>
        <w:rPr>
          <w:rFonts w:hint="eastAsia" w:hAnsi="黑体"/>
          <w:lang w:val="en-US" w:eastAsia="zh-CN"/>
        </w:rPr>
        <w:t xml:space="preserve"> </w:t>
      </w:r>
      <w:r>
        <w:rPr>
          <w:rFonts w:hint="eastAsia" w:hAnsi="黑体"/>
        </w:rPr>
        <w:t>ISMS认证文件</w:t>
      </w:r>
    </w:p>
    <w:p w14:paraId="64C151AB">
      <w:pPr>
        <w:pStyle w:val="36"/>
        <w:rPr>
          <w:rFonts w:hAnsi="宋体"/>
          <w:lang w:val="de-DE"/>
        </w:rPr>
      </w:pPr>
      <w:r>
        <w:rPr>
          <w:rFonts w:hint="eastAsia" w:hAnsi="宋体"/>
          <w:lang w:val="de-DE"/>
        </w:rPr>
        <w:t>认证文件应由负责此项职责的人员签署。认证文件应包括适用性声明的版本。</w:t>
      </w:r>
    </w:p>
    <w:p w14:paraId="3ABCA77D">
      <w:pPr>
        <w:pStyle w:val="36"/>
        <w:ind w:firstLine="360"/>
        <w:rPr>
          <w:rFonts w:hAnsi="宋体"/>
          <w:sz w:val="18"/>
          <w:szCs w:val="18"/>
          <w:lang w:val="de-DE"/>
        </w:rPr>
      </w:pPr>
      <w:r>
        <w:rPr>
          <w:rFonts w:hint="eastAsia" w:ascii="黑体" w:hAnsi="黑体" w:eastAsia="黑体"/>
          <w:sz w:val="18"/>
          <w:szCs w:val="18"/>
          <w:lang w:val="de-DE"/>
        </w:rPr>
        <w:t>注：</w:t>
      </w:r>
      <w:r>
        <w:rPr>
          <w:rFonts w:hint="eastAsia" w:hAnsi="宋体"/>
          <w:sz w:val="18"/>
          <w:szCs w:val="18"/>
          <w:lang w:val="de-DE"/>
        </w:rPr>
        <w:t>如果适用性声明的变更没有改变认证范围中控制的覆盖范围，则不要求更新认证证书。</w:t>
      </w:r>
    </w:p>
    <w:p w14:paraId="28869560">
      <w:pPr>
        <w:pStyle w:val="36"/>
        <w:rPr>
          <w:rFonts w:hAnsi="宋体"/>
          <w:lang w:val="de-DE"/>
        </w:rPr>
      </w:pPr>
      <w:r>
        <w:rPr>
          <w:rFonts w:hint="eastAsia" w:hAnsi="宋体"/>
          <w:lang w:val="de-DE"/>
        </w:rPr>
        <w:t>当组织不是在明确的物理</w:t>
      </w:r>
      <w:r>
        <w:rPr>
          <w:rFonts w:hint="eastAsia" w:hAnsi="宋体"/>
          <w:lang w:val="en-US" w:eastAsia="zh-CN"/>
        </w:rPr>
        <w:t>位置实施其</w:t>
      </w:r>
      <w:r>
        <w:rPr>
          <w:rFonts w:hint="eastAsia" w:hAnsi="宋体"/>
          <w:lang w:val="de-DE"/>
        </w:rPr>
        <w:t>认证范围内的</w:t>
      </w:r>
      <w:r>
        <w:rPr>
          <w:rFonts w:hint="eastAsia" w:hAnsi="宋体"/>
          <w:lang w:val="en-US" w:eastAsia="zh-CN"/>
        </w:rPr>
        <w:t>任何</w:t>
      </w:r>
      <w:r>
        <w:rPr>
          <w:rFonts w:hint="eastAsia" w:hAnsi="宋体"/>
          <w:lang w:val="de-DE"/>
        </w:rPr>
        <w:t>活动</w:t>
      </w:r>
      <w:r>
        <w:rPr>
          <w:rFonts w:hint="eastAsia" w:hAnsi="宋体"/>
          <w:lang w:val="en-US" w:eastAsia="zh-CN"/>
        </w:rPr>
        <w:t>时</w:t>
      </w:r>
      <w:r>
        <w:rPr>
          <w:rFonts w:hint="eastAsia" w:hAnsi="宋体"/>
          <w:lang w:val="de-DE"/>
        </w:rPr>
        <w:t>，认证文件应</w:t>
      </w:r>
      <w:r>
        <w:rPr>
          <w:rFonts w:hint="eastAsia" w:hAnsi="宋体"/>
        </w:rPr>
        <w:t>说明</w:t>
      </w:r>
      <w:r>
        <w:rPr>
          <w:rFonts w:hint="eastAsia" w:hAnsi="宋体"/>
          <w:lang w:val="de-DE"/>
        </w:rPr>
        <w:t>组织所有的活动是远程实施的。</w:t>
      </w:r>
    </w:p>
    <w:p w14:paraId="19935748">
      <w:pPr>
        <w:pStyle w:val="70"/>
        <w:numPr>
          <w:ilvl w:val="0"/>
          <w:numId w:val="0"/>
        </w:numPr>
        <w:spacing w:before="156" w:after="156"/>
        <w:rPr>
          <w:rFonts w:hAnsi="黑体"/>
        </w:rPr>
      </w:pPr>
      <w:r>
        <w:rPr>
          <w:rFonts w:hint="eastAsia" w:hAnsi="黑体"/>
        </w:rPr>
        <w:t xml:space="preserve">8.2.3 </w:t>
      </w:r>
      <w:r>
        <w:rPr>
          <w:rFonts w:hint="eastAsia" w:hAnsi="黑体"/>
          <w:lang w:val="en-US" w:eastAsia="zh-CN"/>
        </w:rPr>
        <w:t xml:space="preserve"> </w:t>
      </w:r>
      <w:r>
        <w:rPr>
          <w:rFonts w:hint="eastAsia" w:hAnsi="黑体"/>
        </w:rPr>
        <w:t>ISMS认证文件中引用其他标准</w:t>
      </w:r>
    </w:p>
    <w:p w14:paraId="546C73FF">
      <w:pPr>
        <w:pStyle w:val="36"/>
        <w:rPr>
          <w:rFonts w:hAnsi="宋体"/>
          <w:lang w:val="de-DE"/>
        </w:rPr>
      </w:pPr>
      <w:r>
        <w:rPr>
          <w:rFonts w:hint="eastAsia" w:hAnsi="宋体"/>
        </w:rPr>
        <w:t>满足以下条件时，</w:t>
      </w:r>
      <w:r>
        <w:rPr>
          <w:rFonts w:hint="eastAsia" w:hAnsi="宋体"/>
          <w:lang w:val="de-DE"/>
        </w:rPr>
        <w:t>认证文件</w:t>
      </w:r>
      <w:r>
        <w:rPr>
          <w:rFonts w:hint="eastAsia" w:hAnsi="宋体"/>
        </w:rPr>
        <w:t>中</w:t>
      </w:r>
      <w:r>
        <w:rPr>
          <w:rFonts w:hint="eastAsia" w:hAnsi="宋体"/>
          <w:lang w:val="de-DE"/>
        </w:rPr>
        <w:t>可引用国家标准和国际标准：</w:t>
      </w:r>
    </w:p>
    <w:p w14:paraId="53328095">
      <w:pPr>
        <w:pStyle w:val="85"/>
        <w:numPr>
          <w:ilvl w:val="0"/>
          <w:numId w:val="31"/>
        </w:numPr>
        <w:rPr>
          <w:rFonts w:hAnsi="宋体"/>
        </w:rPr>
      </w:pPr>
      <w:r>
        <w:rPr>
          <w:rFonts w:hint="eastAsia" w:hAnsi="宋体"/>
        </w:rPr>
        <w:t>组织按照GB/T 22080—202X 6.1.3 c)的要求，将其所有的必要控制和参考控制源中的控制进行比较，以确定没有发生无意中遗漏必要控制的情况；</w:t>
      </w:r>
    </w:p>
    <w:p w14:paraId="33036729">
      <w:pPr>
        <w:pStyle w:val="85"/>
        <w:numPr>
          <w:ilvl w:val="0"/>
          <w:numId w:val="31"/>
        </w:numPr>
        <w:rPr>
          <w:rFonts w:hAnsi="宋体"/>
          <w:lang w:val="de-DE"/>
        </w:rPr>
      </w:pPr>
      <w:r>
        <w:rPr>
          <w:rFonts w:hint="eastAsia" w:hAnsi="宋体"/>
          <w:lang w:val="de-DE"/>
        </w:rPr>
        <w:t>组织</w:t>
      </w:r>
      <w:r>
        <w:rPr>
          <w:rFonts w:hint="eastAsia" w:hAnsi="宋体"/>
        </w:rPr>
        <w:t>按照GB/T 22080—202X</w:t>
      </w:r>
      <w:r>
        <w:rPr>
          <w:rFonts w:hint="eastAsia" w:hAnsi="宋体"/>
          <w:lang w:val="de-DE"/>
        </w:rPr>
        <w:t xml:space="preserve"> 6.1.3 d)</w:t>
      </w:r>
      <w:r>
        <w:rPr>
          <w:rFonts w:hint="eastAsia" w:hAnsi="宋体"/>
        </w:rPr>
        <w:t>的要求，在适用性声明中给出删减参考控制的合理性说明。</w:t>
      </w:r>
    </w:p>
    <w:p w14:paraId="3E03FADE">
      <w:pPr>
        <w:pStyle w:val="85"/>
        <w:numPr>
          <w:ilvl w:val="255"/>
          <w:numId w:val="0"/>
        </w:numPr>
        <w:ind w:left="420"/>
        <w:rPr>
          <w:rFonts w:hAnsi="宋体"/>
        </w:rPr>
      </w:pPr>
      <w:r>
        <w:rPr>
          <w:rFonts w:hint="eastAsia" w:hAnsi="宋体"/>
        </w:rPr>
        <w:t>参考控制标准能是基于GB/T 22080—202X的附录A或包含信息安全控制的标准。</w:t>
      </w:r>
    </w:p>
    <w:p w14:paraId="5D3F5D42">
      <w:pPr>
        <w:pStyle w:val="36"/>
        <w:ind w:firstLine="420"/>
        <w:rPr>
          <w:rFonts w:hAnsi="宋体"/>
          <w:lang w:val="de-DE"/>
        </w:rPr>
      </w:pPr>
      <w:r>
        <w:rPr>
          <w:rFonts w:hint="eastAsia" w:hAnsi="宋体"/>
          <w:lang w:val="de-DE"/>
        </w:rPr>
        <w:t>认证文件</w:t>
      </w:r>
      <w:r>
        <w:rPr>
          <w:rFonts w:hint="eastAsia" w:hAnsi="宋体"/>
        </w:rPr>
        <w:t>应说明适用性声明中</w:t>
      </w:r>
      <w:r>
        <w:rPr>
          <w:rFonts w:hint="eastAsia" w:hAnsi="宋体"/>
          <w:lang w:val="de-DE"/>
        </w:rPr>
        <w:t>的</w:t>
      </w:r>
      <w:r>
        <w:rPr>
          <w:rFonts w:hint="eastAsia" w:hAnsi="宋体"/>
        </w:rPr>
        <w:t>控制集仅用于提及在ISMS中选择和删减控制的相关性，</w:t>
      </w:r>
      <w:r>
        <w:rPr>
          <w:rFonts w:hint="eastAsia" w:hAnsi="宋体"/>
          <w:lang w:val="de-DE"/>
        </w:rPr>
        <w:t>而不是</w:t>
      </w:r>
      <w:r>
        <w:rPr>
          <w:rFonts w:hint="eastAsia" w:hAnsi="宋体"/>
        </w:rPr>
        <w:t>用于合格评定</w:t>
      </w:r>
      <w:r>
        <w:rPr>
          <w:rFonts w:hint="eastAsia" w:hAnsi="宋体"/>
          <w:lang w:val="de-DE"/>
        </w:rPr>
        <w:t>。</w:t>
      </w:r>
    </w:p>
    <w:p w14:paraId="0398BD90">
      <w:pPr>
        <w:pStyle w:val="66"/>
        <w:numPr>
          <w:ilvl w:val="2"/>
          <w:numId w:val="19"/>
        </w:numPr>
        <w:tabs>
          <w:tab w:val="left" w:pos="360"/>
        </w:tabs>
        <w:spacing w:before="156" w:after="156"/>
        <w:rPr>
          <w:rFonts w:hAnsi="黑体"/>
        </w:rPr>
      </w:pPr>
      <w:bookmarkStart w:id="247" w:name="_Toc434010465"/>
      <w:bookmarkStart w:id="248" w:name="_Toc12402"/>
      <w:bookmarkStart w:id="249" w:name="_Toc2469"/>
      <w:bookmarkStart w:id="250" w:name="_Toc496168571"/>
      <w:r>
        <w:rPr>
          <w:rFonts w:hint="eastAsia" w:hAnsi="黑体"/>
        </w:rPr>
        <w:t>认证的引用和标志的使用</w:t>
      </w:r>
      <w:bookmarkEnd w:id="247"/>
      <w:bookmarkEnd w:id="248"/>
      <w:bookmarkEnd w:id="249"/>
      <w:bookmarkEnd w:id="250"/>
    </w:p>
    <w:p w14:paraId="1FB930FB">
      <w:pPr>
        <w:ind w:firstLine="420" w:firstLineChars="200"/>
        <w:jc w:val="left"/>
        <w:rPr>
          <w:rFonts w:ascii="宋体" w:hAnsi="宋体"/>
          <w:szCs w:val="21"/>
          <w:lang w:val="de-DE"/>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中8.3的要求适用。</w:t>
      </w:r>
    </w:p>
    <w:p w14:paraId="2146B44C">
      <w:pPr>
        <w:pStyle w:val="66"/>
        <w:numPr>
          <w:ilvl w:val="2"/>
          <w:numId w:val="19"/>
        </w:numPr>
        <w:tabs>
          <w:tab w:val="left" w:pos="360"/>
        </w:tabs>
        <w:spacing w:before="156" w:after="156"/>
        <w:rPr>
          <w:rFonts w:hAnsi="黑体"/>
        </w:rPr>
      </w:pPr>
      <w:bookmarkStart w:id="251" w:name="_Toc18906"/>
      <w:bookmarkStart w:id="252" w:name="_Toc8328"/>
      <w:bookmarkStart w:id="253" w:name="_Toc434010466"/>
      <w:bookmarkStart w:id="254" w:name="_Toc496168572"/>
      <w:r>
        <w:rPr>
          <w:rFonts w:hint="eastAsia" w:hAnsi="黑体"/>
        </w:rPr>
        <w:t>保密</w:t>
      </w:r>
      <w:bookmarkEnd w:id="251"/>
      <w:bookmarkEnd w:id="252"/>
      <w:bookmarkEnd w:id="253"/>
      <w:bookmarkEnd w:id="254"/>
    </w:p>
    <w:p w14:paraId="48A0EBD1">
      <w:pPr>
        <w:pStyle w:val="70"/>
        <w:numPr>
          <w:ilvl w:val="0"/>
          <w:numId w:val="0"/>
        </w:numPr>
        <w:spacing w:before="156" w:after="156"/>
        <w:rPr>
          <w:rFonts w:hAnsi="黑体"/>
        </w:rPr>
      </w:pPr>
      <w:r>
        <w:rPr>
          <w:rFonts w:hint="eastAsia" w:hAnsi="黑体"/>
        </w:rPr>
        <w:t>8.4.1</w:t>
      </w:r>
      <w:r>
        <w:rPr>
          <w:rFonts w:hint="eastAsia" w:hAnsi="黑体"/>
          <w:lang w:val="en-US" w:eastAsia="zh-CN"/>
        </w:rPr>
        <w:t xml:space="preserve"> </w:t>
      </w:r>
      <w:r>
        <w:rPr>
          <w:rFonts w:hint="eastAsia" w:hAnsi="黑体"/>
        </w:rPr>
        <w:t xml:space="preserve"> 总则</w:t>
      </w:r>
    </w:p>
    <w:p w14:paraId="723616F6">
      <w:pPr>
        <w:ind w:firstLine="420" w:firstLineChars="200"/>
        <w:jc w:val="left"/>
        <w:rPr>
          <w:rFonts w:ascii="宋体" w:hAnsi="宋体"/>
          <w:szCs w:val="21"/>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中8.4的要求适用。并且，</w:t>
      </w:r>
      <w:r>
        <w:rPr>
          <w:rFonts w:hint="eastAsia" w:ascii="宋体" w:hAnsi="宋体"/>
          <w:kern w:val="0"/>
          <w:szCs w:val="21"/>
        </w:rPr>
        <w:t>8.4.2的</w:t>
      </w:r>
      <w:r>
        <w:rPr>
          <w:rFonts w:hint="eastAsia" w:ascii="宋体" w:hAnsi="宋体"/>
          <w:kern w:val="0"/>
          <w:szCs w:val="21"/>
          <w:lang w:val="de-DE"/>
        </w:rPr>
        <w:t>要求和</w:t>
      </w:r>
      <w:r>
        <w:rPr>
          <w:rFonts w:hint="eastAsia" w:ascii="宋体" w:hAnsi="宋体"/>
          <w:szCs w:val="21"/>
        </w:rPr>
        <w:t>指南适用。</w:t>
      </w:r>
    </w:p>
    <w:p w14:paraId="1C74E3B5">
      <w:pPr>
        <w:pStyle w:val="70"/>
        <w:numPr>
          <w:ilvl w:val="0"/>
          <w:numId w:val="0"/>
        </w:numPr>
        <w:spacing w:before="156" w:after="156"/>
        <w:rPr>
          <w:rFonts w:hAnsi="黑体"/>
        </w:rPr>
      </w:pPr>
      <w:r>
        <w:rPr>
          <w:rFonts w:hint="eastAsia" w:hAnsi="黑体"/>
        </w:rPr>
        <w:t>8.4.2</w:t>
      </w:r>
      <w:r>
        <w:rPr>
          <w:rFonts w:hint="eastAsia" w:hAnsi="黑体"/>
          <w:lang w:val="en-US" w:eastAsia="zh-CN"/>
        </w:rPr>
        <w:t xml:space="preserve"> </w:t>
      </w:r>
      <w:r>
        <w:rPr>
          <w:rFonts w:hint="eastAsia" w:hAnsi="黑体"/>
        </w:rPr>
        <w:t xml:space="preserve"> 组织记录的获取</w:t>
      </w:r>
    </w:p>
    <w:p w14:paraId="49E35C0B">
      <w:pPr>
        <w:ind w:firstLine="420" w:firstLineChars="200"/>
        <w:rPr>
          <w:rFonts w:ascii="宋体" w:hAnsi="宋体"/>
          <w:lang w:val="de-DE"/>
        </w:rPr>
      </w:pPr>
      <w:r>
        <w:rPr>
          <w:rFonts w:hint="eastAsia" w:ascii="宋体" w:hAnsi="宋体"/>
          <w:lang w:val="de-DE"/>
        </w:rPr>
        <w:t>在认证审核之前，认证机构应要求客户报告是否存在因包含保密</w:t>
      </w:r>
      <w:r>
        <w:rPr>
          <w:rFonts w:hint="eastAsia" w:ascii="宋体" w:hAnsi="宋体"/>
          <w:lang w:val="en-US" w:eastAsia="zh-CN"/>
        </w:rPr>
        <w:t>信息</w:t>
      </w:r>
      <w:r>
        <w:rPr>
          <w:rFonts w:hint="eastAsia" w:ascii="宋体" w:hAnsi="宋体"/>
          <w:lang w:val="de-DE"/>
        </w:rPr>
        <w:t>或敏感信息而导致不能提供给审核组的ISMS相关信息（例如，ISMS记录或关于控制的设计与有效性的信息）。认证机构应确定是否能在缺少这些信息的情况下</w:t>
      </w:r>
      <w:r>
        <w:rPr>
          <w:rFonts w:hint="eastAsia" w:ascii="宋体" w:hAnsi="宋体"/>
          <w:lang w:val="en-US" w:eastAsia="zh-CN"/>
        </w:rPr>
        <w:t>对</w:t>
      </w:r>
      <w:r>
        <w:rPr>
          <w:rFonts w:hint="eastAsia" w:ascii="宋体" w:hAnsi="宋体"/>
          <w:lang w:val="de-DE"/>
        </w:rPr>
        <w:t>ISMS</w:t>
      </w:r>
      <w:r>
        <w:rPr>
          <w:rFonts w:hint="eastAsia" w:ascii="宋体" w:hAnsi="宋体"/>
          <w:lang w:val="en-US" w:eastAsia="zh-CN"/>
        </w:rPr>
        <w:t>进行</w:t>
      </w:r>
      <w:r>
        <w:rPr>
          <w:rFonts w:hint="eastAsia" w:ascii="宋体" w:hAnsi="宋体"/>
          <w:lang w:val="de-DE"/>
        </w:rPr>
        <w:t>充分审核。如果认证机构的结论是若不</w:t>
      </w:r>
      <w:r>
        <w:rPr>
          <w:rFonts w:hint="eastAsia" w:ascii="宋体" w:hAnsi="宋体"/>
          <w:lang w:val="en-US" w:eastAsia="zh-CN"/>
        </w:rPr>
        <w:t>审核</w:t>
      </w:r>
      <w:r>
        <w:rPr>
          <w:rFonts w:hint="eastAsia" w:ascii="宋体" w:hAnsi="宋体"/>
          <w:lang w:val="de-DE"/>
        </w:rPr>
        <w:t>已识别的保密</w:t>
      </w:r>
      <w:r>
        <w:rPr>
          <w:rFonts w:hint="eastAsia" w:ascii="宋体" w:hAnsi="宋体"/>
          <w:lang w:val="en-US" w:eastAsia="zh-CN"/>
        </w:rPr>
        <w:t>信息</w:t>
      </w:r>
      <w:r>
        <w:rPr>
          <w:rFonts w:hint="eastAsia" w:ascii="宋体" w:hAnsi="宋体"/>
          <w:lang w:val="de-DE"/>
        </w:rPr>
        <w:t>或敏感信息就不能对ISMS进行充分</w:t>
      </w:r>
      <w:r>
        <w:rPr>
          <w:rFonts w:ascii="宋体" w:hAnsi="宋体"/>
          <w:lang w:val="de-DE"/>
        </w:rPr>
        <w:t>地</w:t>
      </w:r>
      <w:r>
        <w:rPr>
          <w:rFonts w:hint="eastAsia" w:ascii="宋体" w:hAnsi="宋体"/>
          <w:lang w:val="de-DE"/>
        </w:rPr>
        <w:t>审核，那么认证机构则应告知客户只有在适当的访问安排获得许可后才能进行认证审核。</w:t>
      </w:r>
    </w:p>
    <w:p w14:paraId="3B1F4BA8">
      <w:pPr>
        <w:pStyle w:val="66"/>
        <w:numPr>
          <w:ilvl w:val="2"/>
          <w:numId w:val="19"/>
        </w:numPr>
        <w:tabs>
          <w:tab w:val="left" w:pos="360"/>
        </w:tabs>
        <w:spacing w:before="156" w:after="156"/>
        <w:rPr>
          <w:rFonts w:ascii="宋体" w:hAnsi="宋体" w:eastAsia="宋体"/>
          <w:b/>
        </w:rPr>
      </w:pPr>
      <w:bookmarkStart w:id="255" w:name="_Toc8388"/>
      <w:bookmarkStart w:id="256" w:name="_Toc496168573"/>
      <w:bookmarkStart w:id="257" w:name="_Toc434010467"/>
      <w:bookmarkStart w:id="258" w:name="_Toc17863"/>
      <w:r>
        <w:rPr>
          <w:rFonts w:hint="eastAsia" w:hAnsi="黑体"/>
        </w:rPr>
        <w:t>认证机构与其客户间的信息交换</w:t>
      </w:r>
      <w:bookmarkEnd w:id="255"/>
      <w:bookmarkEnd w:id="256"/>
      <w:bookmarkEnd w:id="257"/>
      <w:bookmarkEnd w:id="258"/>
    </w:p>
    <w:p w14:paraId="3EEEE5E1">
      <w:pPr>
        <w:ind w:firstLine="420" w:firstLineChars="200"/>
        <w:jc w:val="left"/>
        <w:rPr>
          <w:rFonts w:ascii="宋体" w:hAnsi="宋体"/>
          <w:szCs w:val="21"/>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中8.5的要求适用</w:t>
      </w:r>
      <w:r>
        <w:rPr>
          <w:rFonts w:hint="eastAsia" w:ascii="宋体" w:hAnsi="宋体"/>
          <w:szCs w:val="21"/>
        </w:rPr>
        <w:t>。</w:t>
      </w:r>
    </w:p>
    <w:p w14:paraId="43076033">
      <w:pPr>
        <w:pStyle w:val="69"/>
        <w:numPr>
          <w:ilvl w:val="1"/>
          <w:numId w:val="19"/>
        </w:numPr>
        <w:spacing w:before="312" w:after="312"/>
        <w:ind w:left="0"/>
      </w:pPr>
      <w:bookmarkStart w:id="259" w:name="_Toc3138"/>
      <w:bookmarkStart w:id="260" w:name="_Toc434010468"/>
      <w:bookmarkStart w:id="261" w:name="_Toc19601"/>
      <w:bookmarkStart w:id="262" w:name="_Toc496168574"/>
      <w:r>
        <w:rPr>
          <w:rFonts w:hint="eastAsia"/>
        </w:rPr>
        <w:t>过程要求</w:t>
      </w:r>
      <w:bookmarkEnd w:id="259"/>
      <w:bookmarkEnd w:id="260"/>
      <w:bookmarkEnd w:id="261"/>
      <w:bookmarkEnd w:id="262"/>
    </w:p>
    <w:p w14:paraId="50B07F8A">
      <w:pPr>
        <w:pStyle w:val="66"/>
        <w:numPr>
          <w:ilvl w:val="2"/>
          <w:numId w:val="19"/>
        </w:numPr>
        <w:tabs>
          <w:tab w:val="left" w:pos="360"/>
        </w:tabs>
        <w:spacing w:before="156" w:after="156"/>
        <w:rPr>
          <w:rFonts w:hAnsi="黑体"/>
        </w:rPr>
      </w:pPr>
      <w:bookmarkStart w:id="263" w:name="_Toc496168575"/>
      <w:bookmarkStart w:id="264" w:name="_Toc434010469"/>
      <w:bookmarkStart w:id="265" w:name="_Toc4633"/>
      <w:bookmarkStart w:id="266" w:name="_Toc4605"/>
      <w:r>
        <w:rPr>
          <w:rFonts w:hint="eastAsia" w:hAnsi="黑体"/>
        </w:rPr>
        <w:t>认证前的活动</w:t>
      </w:r>
      <w:bookmarkEnd w:id="263"/>
      <w:bookmarkEnd w:id="264"/>
      <w:bookmarkEnd w:id="265"/>
      <w:bookmarkEnd w:id="266"/>
    </w:p>
    <w:p w14:paraId="2B3EDA62">
      <w:pPr>
        <w:pStyle w:val="70"/>
        <w:numPr>
          <w:ilvl w:val="0"/>
          <w:numId w:val="0"/>
        </w:numPr>
        <w:spacing w:before="156" w:after="156"/>
        <w:rPr>
          <w:rFonts w:hAnsi="黑体"/>
        </w:rPr>
      </w:pPr>
      <w:r>
        <w:rPr>
          <w:rFonts w:hAnsi="黑体"/>
        </w:rPr>
        <w:t>9.1.1</w:t>
      </w:r>
      <w:r>
        <w:rPr>
          <w:rFonts w:hint="eastAsia" w:hAnsi="黑体"/>
        </w:rPr>
        <w:t>　申请</w:t>
      </w:r>
    </w:p>
    <w:p w14:paraId="73409EAB">
      <w:pPr>
        <w:pStyle w:val="70"/>
        <w:numPr>
          <w:ilvl w:val="0"/>
          <w:numId w:val="0"/>
        </w:numPr>
        <w:spacing w:before="156" w:after="156"/>
        <w:rPr>
          <w:rFonts w:hAnsi="黑体"/>
        </w:rPr>
      </w:pPr>
      <w:r>
        <w:rPr>
          <w:rFonts w:hint="eastAsia" w:hAnsi="黑体"/>
        </w:rPr>
        <w:t>9.1.1.1</w:t>
      </w:r>
      <w:r>
        <w:rPr>
          <w:rFonts w:hint="eastAsia" w:hAnsi="黑体"/>
          <w:lang w:val="en-US" w:eastAsia="zh-CN"/>
        </w:rPr>
        <w:t xml:space="preserve"> </w:t>
      </w:r>
      <w:r>
        <w:rPr>
          <w:rFonts w:hint="eastAsia" w:hAnsi="黑体"/>
        </w:rPr>
        <w:t xml:space="preserve"> 总则</w:t>
      </w:r>
    </w:p>
    <w:p w14:paraId="3452B42C">
      <w:pPr>
        <w:ind w:firstLine="420" w:firstLineChars="200"/>
        <w:jc w:val="left"/>
        <w:rPr>
          <w:rFonts w:ascii="宋体" w:hAnsi="宋体"/>
          <w:szCs w:val="21"/>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中9.1的要求适用。并且，</w:t>
      </w:r>
      <w:r>
        <w:rPr>
          <w:rFonts w:hint="eastAsia" w:ascii="宋体" w:hAnsi="宋体"/>
          <w:kern w:val="0"/>
          <w:szCs w:val="21"/>
        </w:rPr>
        <w:t>9.1.1.2的</w:t>
      </w:r>
      <w:r>
        <w:rPr>
          <w:rFonts w:hint="eastAsia" w:ascii="宋体" w:hAnsi="宋体"/>
          <w:kern w:val="0"/>
          <w:szCs w:val="21"/>
          <w:lang w:val="de-DE"/>
        </w:rPr>
        <w:t>要求和指南适用</w:t>
      </w:r>
      <w:r>
        <w:rPr>
          <w:rFonts w:hint="eastAsia" w:ascii="宋体" w:hAnsi="宋体"/>
          <w:szCs w:val="21"/>
        </w:rPr>
        <w:t>。</w:t>
      </w:r>
    </w:p>
    <w:p w14:paraId="7AE9C19C">
      <w:pPr>
        <w:pStyle w:val="70"/>
        <w:numPr>
          <w:ilvl w:val="0"/>
          <w:numId w:val="0"/>
        </w:numPr>
        <w:spacing w:before="156" w:after="156"/>
        <w:rPr>
          <w:rFonts w:hAnsi="黑体"/>
        </w:rPr>
      </w:pPr>
      <w:r>
        <w:rPr>
          <w:rFonts w:hint="eastAsia" w:hAnsi="黑体"/>
        </w:rPr>
        <w:t xml:space="preserve">9.1.1.2 </w:t>
      </w:r>
      <w:r>
        <w:rPr>
          <w:rFonts w:hint="eastAsia" w:hAnsi="黑体"/>
          <w:lang w:val="en-US" w:eastAsia="zh-CN"/>
        </w:rPr>
        <w:t xml:space="preserve"> 对</w:t>
      </w:r>
      <w:r>
        <w:rPr>
          <w:rFonts w:hint="eastAsia" w:hAnsi="黑体"/>
        </w:rPr>
        <w:t>认证程序的考虑</w:t>
      </w:r>
    </w:p>
    <w:p w14:paraId="79F7B322">
      <w:pPr>
        <w:ind w:firstLine="420" w:firstLineChars="200"/>
        <w:jc w:val="left"/>
        <w:rPr>
          <w:rFonts w:ascii="宋体" w:hAnsi="宋体"/>
          <w:lang w:val="de-DE"/>
        </w:rPr>
      </w:pPr>
      <w:r>
        <w:rPr>
          <w:rFonts w:hint="eastAsia" w:ascii="宋体" w:hAnsi="宋体"/>
          <w:lang w:val="de-DE"/>
        </w:rPr>
        <w:t>认证机构的</w:t>
      </w:r>
      <w:r>
        <w:rPr>
          <w:rFonts w:hint="eastAsia" w:ascii="宋体" w:hAnsi="宋体"/>
        </w:rPr>
        <w:t>认证</w:t>
      </w:r>
      <w:r>
        <w:rPr>
          <w:rFonts w:hint="eastAsia" w:ascii="宋体" w:hAnsi="宋体"/>
          <w:lang w:val="de-DE"/>
        </w:rPr>
        <w:t>程序不应预先假定ISMS实施的特殊方式或文件和记录的特殊格式。认证程序应将重点放在</w:t>
      </w:r>
      <w:r>
        <w:rPr>
          <w:rFonts w:hint="eastAsia" w:ascii="宋体" w:hAnsi="宋体"/>
          <w:lang w:val="en-US" w:eastAsia="zh-CN"/>
        </w:rPr>
        <w:t>确认</w:t>
      </w:r>
      <w:r>
        <w:rPr>
          <w:rFonts w:hint="eastAsia" w:ascii="宋体" w:hAnsi="宋体"/>
          <w:lang w:val="de-DE"/>
        </w:rPr>
        <w:t>客户的ISMS满足</w:t>
      </w:r>
      <w:r>
        <w:rPr>
          <w:rFonts w:ascii="宋体" w:hAnsi="宋体"/>
          <w:lang w:val="de-DE"/>
        </w:rPr>
        <w:t>GB/T 22080</w:t>
      </w:r>
      <w:r>
        <w:rPr>
          <w:rFonts w:hint="eastAsia"/>
        </w:rPr>
        <w:t>—</w:t>
      </w:r>
      <w:r>
        <w:rPr>
          <w:rFonts w:ascii="宋体" w:hAnsi="宋体"/>
          <w:lang w:val="de-DE"/>
        </w:rPr>
        <w:t>20</w:t>
      </w:r>
      <w:r>
        <w:rPr>
          <w:rFonts w:hint="eastAsia" w:ascii="宋体" w:hAnsi="宋体"/>
        </w:rPr>
        <w:t>2X</w:t>
      </w:r>
      <w:r>
        <w:rPr>
          <w:rFonts w:hint="eastAsia" w:ascii="宋体" w:hAnsi="宋体"/>
          <w:lang w:val="de-DE"/>
        </w:rPr>
        <w:t>的要求和客户的策略与目标。</w:t>
      </w:r>
    </w:p>
    <w:p w14:paraId="59A6CCF7">
      <w:pPr>
        <w:pStyle w:val="36"/>
        <w:ind w:firstLine="360"/>
        <w:rPr>
          <w:rFonts w:hAnsi="宋体"/>
          <w:sz w:val="18"/>
          <w:szCs w:val="18"/>
          <w:lang w:val="de-DE"/>
        </w:rPr>
      </w:pPr>
      <w:r>
        <w:rPr>
          <w:rFonts w:hint="eastAsia" w:ascii="黑体" w:hAnsi="黑体" w:eastAsia="黑体"/>
          <w:sz w:val="18"/>
          <w:szCs w:val="18"/>
          <w:lang w:val="de-DE"/>
        </w:rPr>
        <w:t>注：</w:t>
      </w:r>
      <w:r>
        <w:rPr>
          <w:rFonts w:hint="eastAsia" w:hAnsi="宋体"/>
          <w:sz w:val="18"/>
          <w:szCs w:val="18"/>
          <w:lang w:val="de-DE"/>
        </w:rPr>
        <w:t>组织的</w:t>
      </w:r>
      <w:r>
        <w:rPr>
          <w:rFonts w:hint="eastAsia" w:hAnsi="宋体"/>
          <w:sz w:val="18"/>
          <w:szCs w:val="18"/>
        </w:rPr>
        <w:t>必要控制可能是其自行设计的，也可能是从</w:t>
      </w:r>
      <w:r>
        <w:rPr>
          <w:rFonts w:hint="eastAsia" w:hAnsi="宋体"/>
          <w:sz w:val="18"/>
          <w:szCs w:val="18"/>
          <w:lang w:val="de-DE"/>
        </w:rPr>
        <w:t>任何</w:t>
      </w:r>
      <w:r>
        <w:rPr>
          <w:rFonts w:hint="eastAsia" w:hAnsi="宋体"/>
          <w:sz w:val="18"/>
          <w:szCs w:val="18"/>
        </w:rPr>
        <w:t>控制</w:t>
      </w:r>
      <w:r>
        <w:rPr>
          <w:rFonts w:hint="eastAsia" w:hAnsi="宋体"/>
          <w:sz w:val="18"/>
          <w:szCs w:val="18"/>
          <w:lang w:val="de-DE"/>
        </w:rPr>
        <w:t>源</w:t>
      </w:r>
      <w:r>
        <w:rPr>
          <w:rFonts w:hint="eastAsia" w:hAnsi="宋体"/>
          <w:sz w:val="18"/>
          <w:szCs w:val="18"/>
        </w:rPr>
        <w:t>中选取的。</w:t>
      </w:r>
      <w:r>
        <w:rPr>
          <w:rFonts w:hint="eastAsia" w:hAnsi="宋体"/>
          <w:sz w:val="18"/>
          <w:szCs w:val="18"/>
          <w:lang w:val="de-DE"/>
        </w:rPr>
        <w:t>因此，即使</w:t>
      </w:r>
      <w:r>
        <w:rPr>
          <w:rFonts w:hint="eastAsia" w:hAnsi="宋体"/>
          <w:sz w:val="18"/>
          <w:szCs w:val="18"/>
        </w:rPr>
        <w:t>组织的必要控制不是来自于GB/T 22080—202X</w:t>
      </w:r>
      <w:r>
        <w:rPr>
          <w:rFonts w:hint="eastAsia" w:hAnsi="宋体"/>
          <w:sz w:val="18"/>
          <w:szCs w:val="18"/>
          <w:lang w:val="de-DE"/>
        </w:rPr>
        <w:t>附录A</w:t>
      </w:r>
      <w:r>
        <w:rPr>
          <w:rFonts w:hint="eastAsia" w:hAnsi="宋体"/>
          <w:sz w:val="18"/>
          <w:szCs w:val="18"/>
        </w:rPr>
        <w:t>，</w:t>
      </w:r>
      <w:r>
        <w:rPr>
          <w:rFonts w:hint="eastAsia" w:hAnsi="宋体"/>
          <w:sz w:val="18"/>
          <w:szCs w:val="18"/>
          <w:lang w:val="de-DE"/>
        </w:rPr>
        <w:t>组织也有可能获得</w:t>
      </w:r>
      <w:r>
        <w:rPr>
          <w:rFonts w:hint="eastAsia" w:hAnsi="宋体"/>
          <w:sz w:val="18"/>
          <w:szCs w:val="18"/>
        </w:rPr>
        <w:t>GB/T 22080—202X</w:t>
      </w:r>
      <w:r>
        <w:rPr>
          <w:rFonts w:hint="eastAsia" w:hAnsi="宋体"/>
          <w:sz w:val="18"/>
          <w:szCs w:val="18"/>
          <w:lang w:eastAsia="zh-CN"/>
        </w:rPr>
        <w:t>的</w:t>
      </w:r>
      <w:r>
        <w:rPr>
          <w:rFonts w:hint="eastAsia" w:hAnsi="宋体"/>
          <w:sz w:val="18"/>
          <w:szCs w:val="18"/>
          <w:lang w:val="de-DE"/>
        </w:rPr>
        <w:t>认证。</w:t>
      </w:r>
    </w:p>
    <w:p w14:paraId="6434DCCC">
      <w:pPr>
        <w:pStyle w:val="70"/>
        <w:numPr>
          <w:ilvl w:val="0"/>
          <w:numId w:val="0"/>
        </w:numPr>
        <w:spacing w:before="156" w:after="156"/>
        <w:rPr>
          <w:rFonts w:hAnsi="黑体"/>
        </w:rPr>
      </w:pPr>
      <w:r>
        <w:rPr>
          <w:rFonts w:hAnsi="黑体"/>
        </w:rPr>
        <w:t>9.1.2</w:t>
      </w:r>
      <w:r>
        <w:rPr>
          <w:rFonts w:hint="eastAsia" w:hAnsi="黑体"/>
        </w:rPr>
        <w:t>　申请评审</w:t>
      </w:r>
    </w:p>
    <w:p w14:paraId="34E32857">
      <w:pPr>
        <w:ind w:firstLine="420" w:firstLineChars="200"/>
        <w:jc w:val="left"/>
        <w:rPr>
          <w:rFonts w:ascii="宋体" w:hAnsi="宋体"/>
          <w:szCs w:val="21"/>
        </w:rPr>
      </w:pPr>
      <w:r>
        <w:rPr>
          <w:rFonts w:hint="eastAsia" w:ascii="宋体" w:hAnsi="宋体"/>
          <w:szCs w:val="21"/>
        </w:rPr>
        <w:t>GB/T 27021.1</w:t>
      </w:r>
      <w:r>
        <w:rPr>
          <w:rFonts w:hint="eastAsia"/>
        </w:rPr>
        <w:t>—</w:t>
      </w:r>
      <w:r>
        <w:rPr>
          <w:rFonts w:hint="eastAsia" w:ascii="宋体" w:hAnsi="宋体"/>
          <w:szCs w:val="21"/>
        </w:rPr>
        <w:t>201</w:t>
      </w:r>
      <w:r>
        <w:rPr>
          <w:rFonts w:ascii="宋体" w:hAnsi="宋体"/>
          <w:szCs w:val="21"/>
        </w:rPr>
        <w:t>7</w:t>
      </w:r>
      <w:r>
        <w:rPr>
          <w:rFonts w:hint="eastAsia" w:ascii="宋体" w:hAnsi="宋体"/>
          <w:szCs w:val="21"/>
        </w:rPr>
        <w:t>中9.1.2的要求适用。</w:t>
      </w:r>
    </w:p>
    <w:p w14:paraId="632926EB">
      <w:pPr>
        <w:pStyle w:val="70"/>
        <w:numPr>
          <w:ilvl w:val="0"/>
          <w:numId w:val="0"/>
        </w:numPr>
        <w:spacing w:before="156" w:after="156"/>
        <w:rPr>
          <w:rFonts w:hAnsi="黑体"/>
        </w:rPr>
      </w:pPr>
      <w:r>
        <w:rPr>
          <w:rFonts w:hAnsi="黑体"/>
        </w:rPr>
        <w:t>9.1.3</w:t>
      </w:r>
      <w:r>
        <w:rPr>
          <w:rFonts w:hint="eastAsia" w:hAnsi="黑体"/>
        </w:rPr>
        <w:t>　</w:t>
      </w:r>
      <w:r>
        <w:rPr>
          <w:rFonts w:hAnsi="黑体"/>
        </w:rPr>
        <w:t>审核方案</w:t>
      </w:r>
    </w:p>
    <w:p w14:paraId="7212700E">
      <w:pPr>
        <w:pStyle w:val="70"/>
        <w:numPr>
          <w:ilvl w:val="0"/>
          <w:numId w:val="0"/>
        </w:numPr>
        <w:spacing w:before="156" w:after="156"/>
        <w:rPr>
          <w:rFonts w:hAnsi="黑体"/>
        </w:rPr>
      </w:pPr>
      <w:r>
        <w:rPr>
          <w:rFonts w:hint="eastAsia" w:hAnsi="黑体"/>
        </w:rPr>
        <w:t>9.1.3.1</w:t>
      </w:r>
      <w:r>
        <w:rPr>
          <w:rFonts w:hint="eastAsia" w:hAnsi="黑体"/>
          <w:lang w:val="en-US" w:eastAsia="zh-CN"/>
        </w:rPr>
        <w:t xml:space="preserve"> </w:t>
      </w:r>
      <w:r>
        <w:rPr>
          <w:rFonts w:hint="eastAsia" w:hAnsi="黑体"/>
        </w:rPr>
        <w:t xml:space="preserve"> 总则</w:t>
      </w:r>
    </w:p>
    <w:p w14:paraId="26E6BB3B">
      <w:pPr>
        <w:ind w:firstLine="420" w:firstLineChars="200"/>
        <w:jc w:val="left"/>
        <w:rPr>
          <w:rFonts w:ascii="宋体" w:hAnsi="宋体"/>
          <w:szCs w:val="21"/>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中9.1.3的要求适用。并且，</w:t>
      </w:r>
      <w:r>
        <w:rPr>
          <w:rFonts w:hint="eastAsia" w:ascii="宋体" w:hAnsi="宋体"/>
          <w:kern w:val="0"/>
          <w:szCs w:val="21"/>
        </w:rPr>
        <w:t>9.1.3.2、9.1.3.3、9.1.3.4、9.1.3.5和9.1.3.6的</w:t>
      </w:r>
      <w:r>
        <w:rPr>
          <w:rFonts w:hint="eastAsia" w:ascii="宋体" w:hAnsi="宋体"/>
          <w:kern w:val="0"/>
          <w:szCs w:val="21"/>
          <w:lang w:val="de-DE"/>
        </w:rPr>
        <w:t>要求和指南适用</w:t>
      </w:r>
      <w:r>
        <w:rPr>
          <w:rFonts w:hint="eastAsia" w:ascii="宋体" w:hAnsi="宋体"/>
          <w:szCs w:val="21"/>
        </w:rPr>
        <w:t>。</w:t>
      </w:r>
    </w:p>
    <w:p w14:paraId="2743636C">
      <w:pPr>
        <w:pStyle w:val="70"/>
        <w:numPr>
          <w:ilvl w:val="0"/>
          <w:numId w:val="0"/>
        </w:numPr>
        <w:spacing w:before="156" w:after="156"/>
        <w:rPr>
          <w:rFonts w:hAnsi="黑体"/>
        </w:rPr>
      </w:pPr>
      <w:r>
        <w:rPr>
          <w:rFonts w:hint="eastAsia" w:hAnsi="黑体"/>
        </w:rPr>
        <w:t>9.1.3.2</w:t>
      </w:r>
      <w:r>
        <w:rPr>
          <w:rFonts w:hint="eastAsia" w:hAnsi="黑体"/>
          <w:lang w:val="en-US" w:eastAsia="zh-CN"/>
        </w:rPr>
        <w:t xml:space="preserve"> </w:t>
      </w:r>
      <w:r>
        <w:rPr>
          <w:rFonts w:hint="eastAsia" w:hAnsi="黑体"/>
        </w:rPr>
        <w:t xml:space="preserve"> 总体考虑</w:t>
      </w:r>
    </w:p>
    <w:p w14:paraId="41946BB1">
      <w:pPr>
        <w:ind w:firstLine="420" w:firstLineChars="200"/>
        <w:jc w:val="left"/>
        <w:rPr>
          <w:rFonts w:ascii="宋体" w:hAnsi="宋体"/>
          <w:szCs w:val="21"/>
        </w:rPr>
      </w:pPr>
      <w:r>
        <w:rPr>
          <w:rFonts w:hint="eastAsia" w:ascii="宋体" w:hAnsi="宋体"/>
          <w:szCs w:val="21"/>
        </w:rPr>
        <w:t>ISMS审核的审核方案应考虑组织所确定的信息安全控制。</w:t>
      </w:r>
    </w:p>
    <w:p w14:paraId="64F4FD69">
      <w:pPr>
        <w:pStyle w:val="36"/>
        <w:ind w:firstLine="360"/>
        <w:rPr>
          <w:rFonts w:hAnsi="宋体"/>
          <w:sz w:val="18"/>
          <w:szCs w:val="18"/>
        </w:rPr>
      </w:pPr>
      <w:r>
        <w:rPr>
          <w:rFonts w:hint="eastAsia" w:ascii="黑体" w:hAnsi="黑体" w:eastAsia="黑体"/>
          <w:sz w:val="18"/>
          <w:szCs w:val="18"/>
          <w:lang w:val="de-DE"/>
        </w:rPr>
        <w:t>注</w:t>
      </w:r>
      <w:r>
        <w:rPr>
          <w:rFonts w:hint="eastAsia" w:ascii="黑体" w:hAnsi="黑体" w:eastAsia="黑体"/>
          <w:sz w:val="18"/>
          <w:szCs w:val="18"/>
        </w:rPr>
        <w:t>1</w:t>
      </w:r>
      <w:r>
        <w:rPr>
          <w:rFonts w:hint="eastAsia" w:ascii="黑体" w:hAnsi="黑体" w:eastAsia="黑体"/>
          <w:sz w:val="18"/>
          <w:szCs w:val="18"/>
          <w:lang w:val="de-DE"/>
        </w:rPr>
        <w:t>：</w:t>
      </w:r>
      <w:r>
        <w:rPr>
          <w:rFonts w:hint="eastAsia" w:hAnsi="宋体"/>
          <w:sz w:val="18"/>
          <w:szCs w:val="18"/>
        </w:rPr>
        <w:t>信息安全控制能来自于GB/T 22080—202X</w:t>
      </w:r>
      <w:r>
        <w:rPr>
          <w:rFonts w:hint="eastAsia" w:hAnsi="宋体"/>
          <w:sz w:val="18"/>
          <w:szCs w:val="18"/>
          <w:lang w:val="de-DE"/>
        </w:rPr>
        <w:t>附录A，</w:t>
      </w:r>
      <w:r>
        <w:rPr>
          <w:rFonts w:hint="eastAsia" w:hAnsi="宋体"/>
          <w:sz w:val="18"/>
          <w:szCs w:val="18"/>
        </w:rPr>
        <w:t>和/或其他适用的标准，和/或</w:t>
      </w:r>
      <w:r>
        <w:rPr>
          <w:rFonts w:hint="eastAsia" w:hAnsi="宋体"/>
          <w:sz w:val="18"/>
          <w:szCs w:val="18"/>
          <w:lang w:val="en-US" w:eastAsia="zh-CN"/>
        </w:rPr>
        <w:t>由</w:t>
      </w:r>
      <w:r>
        <w:rPr>
          <w:rFonts w:hint="eastAsia" w:hAnsi="宋体"/>
          <w:sz w:val="18"/>
          <w:szCs w:val="18"/>
        </w:rPr>
        <w:t>组织自行设计。</w:t>
      </w:r>
    </w:p>
    <w:p w14:paraId="1FE17BBD">
      <w:pPr>
        <w:pStyle w:val="36"/>
        <w:ind w:firstLine="360"/>
        <w:rPr>
          <w:rFonts w:hAnsi="宋体"/>
          <w:szCs w:val="21"/>
        </w:rPr>
      </w:pPr>
      <w:r>
        <w:rPr>
          <w:rFonts w:hint="eastAsia" w:ascii="黑体" w:hAnsi="黑体" w:eastAsia="黑体"/>
          <w:sz w:val="18"/>
          <w:szCs w:val="18"/>
          <w:lang w:val="de-DE"/>
        </w:rPr>
        <w:t>注</w:t>
      </w:r>
      <w:r>
        <w:rPr>
          <w:rFonts w:hint="eastAsia" w:ascii="黑体" w:hAnsi="黑体" w:eastAsia="黑体"/>
          <w:sz w:val="18"/>
          <w:szCs w:val="18"/>
          <w:lang w:val="en-US" w:eastAsia="zh-CN"/>
        </w:rPr>
        <w:t>2</w:t>
      </w:r>
      <w:r>
        <w:rPr>
          <w:rFonts w:hint="eastAsia" w:ascii="黑体" w:hAnsi="黑体" w:eastAsia="黑体"/>
          <w:sz w:val="18"/>
          <w:szCs w:val="18"/>
          <w:lang w:val="de-DE"/>
        </w:rPr>
        <w:t>：</w:t>
      </w:r>
      <w:r>
        <w:rPr>
          <w:rFonts w:hint="eastAsia" w:hAnsi="宋体"/>
          <w:sz w:val="18"/>
          <w:szCs w:val="18"/>
          <w:lang w:val="en-US" w:eastAsia="zh-CN"/>
        </w:rPr>
        <w:t>ISO/IEC 27007</w:t>
      </w:r>
      <w:r>
        <w:rPr>
          <w:rFonts w:hint="eastAsia" w:hAnsi="宋体"/>
          <w:sz w:val="18"/>
          <w:szCs w:val="18"/>
          <w:lang w:val="de-DE"/>
        </w:rPr>
        <w:t>给出了有关审核的</w:t>
      </w:r>
      <w:r>
        <w:rPr>
          <w:rFonts w:hint="eastAsia" w:hAnsi="宋体"/>
          <w:sz w:val="18"/>
          <w:szCs w:val="18"/>
          <w:lang w:val="en-US" w:eastAsia="zh-CN"/>
        </w:rPr>
        <w:t>详细</w:t>
      </w:r>
      <w:r>
        <w:rPr>
          <w:rFonts w:hint="eastAsia" w:hAnsi="宋体"/>
          <w:sz w:val="18"/>
          <w:szCs w:val="18"/>
          <w:lang w:val="de-DE"/>
        </w:rPr>
        <w:t>指南。</w:t>
      </w:r>
    </w:p>
    <w:p w14:paraId="126C7041">
      <w:pPr>
        <w:pStyle w:val="70"/>
        <w:numPr>
          <w:ilvl w:val="0"/>
          <w:numId w:val="0"/>
        </w:numPr>
        <w:spacing w:before="156" w:after="156"/>
        <w:rPr>
          <w:rFonts w:hAnsi="黑体"/>
        </w:rPr>
      </w:pPr>
      <w:r>
        <w:rPr>
          <w:rFonts w:hint="eastAsia" w:hAnsi="黑体"/>
        </w:rPr>
        <w:t>9.1.3.3</w:t>
      </w:r>
      <w:r>
        <w:rPr>
          <w:rFonts w:hint="eastAsia" w:hAnsi="黑体"/>
          <w:lang w:val="en-US" w:eastAsia="zh-CN"/>
        </w:rPr>
        <w:t xml:space="preserve"> </w:t>
      </w:r>
      <w:r>
        <w:rPr>
          <w:rFonts w:hint="eastAsia" w:hAnsi="黑体"/>
        </w:rPr>
        <w:t xml:space="preserve"> 远程审核</w:t>
      </w:r>
    </w:p>
    <w:p w14:paraId="51E45551">
      <w:pPr>
        <w:ind w:firstLine="420" w:firstLineChars="200"/>
        <w:jc w:val="left"/>
        <w:rPr>
          <w:rFonts w:ascii="宋体" w:hAnsi="宋体"/>
          <w:lang w:val="de-DE"/>
        </w:rPr>
      </w:pPr>
      <w:r>
        <w:rPr>
          <w:rFonts w:hint="eastAsia" w:ascii="宋体" w:hAnsi="宋体"/>
        </w:rPr>
        <w:t>实施</w:t>
      </w:r>
      <w:r>
        <w:rPr>
          <w:rFonts w:hint="eastAsia" w:ascii="宋体" w:hAnsi="宋体"/>
          <w:lang w:val="de-DE"/>
        </w:rPr>
        <w:t>远程</w:t>
      </w:r>
      <w:r>
        <w:rPr>
          <w:rFonts w:hint="eastAsia" w:ascii="宋体" w:hAnsi="宋体"/>
        </w:rPr>
        <w:t>审核</w:t>
      </w:r>
      <w:r>
        <w:rPr>
          <w:rFonts w:hint="eastAsia" w:ascii="宋体" w:hAnsi="宋体"/>
          <w:lang w:val="de-DE"/>
        </w:rPr>
        <w:t>活动的认证机构应</w:t>
      </w:r>
      <w:r>
        <w:rPr>
          <w:rFonts w:hint="eastAsia" w:ascii="宋体" w:hAnsi="宋体"/>
        </w:rPr>
        <w:t>规定程序</w:t>
      </w:r>
      <w:r>
        <w:rPr>
          <w:rFonts w:hint="eastAsia" w:ascii="宋体" w:hAnsi="宋体"/>
          <w:lang w:val="de-DE"/>
        </w:rPr>
        <w:t>，以确定</w:t>
      </w:r>
      <w:r>
        <w:rPr>
          <w:rFonts w:hint="eastAsia" w:ascii="宋体" w:hAnsi="宋体"/>
        </w:rPr>
        <w:t>在审核</w:t>
      </w:r>
      <w:r>
        <w:rPr>
          <w:rFonts w:hint="eastAsia" w:ascii="宋体" w:hAnsi="宋体"/>
          <w:lang w:val="de-DE"/>
        </w:rPr>
        <w:t>客户ISMS</w:t>
      </w:r>
      <w:r>
        <w:rPr>
          <w:rFonts w:hint="eastAsia" w:ascii="宋体" w:hAnsi="宋体"/>
        </w:rPr>
        <w:t>时应用</w:t>
      </w:r>
      <w:r>
        <w:rPr>
          <w:rFonts w:hint="eastAsia" w:ascii="宋体" w:hAnsi="宋体"/>
          <w:lang w:val="de-DE"/>
        </w:rPr>
        <w:t>远程</w:t>
      </w:r>
      <w:r>
        <w:rPr>
          <w:rFonts w:hint="eastAsia" w:ascii="宋体" w:hAnsi="宋体"/>
        </w:rPr>
        <w:t>审核</w:t>
      </w:r>
      <w:r>
        <w:rPr>
          <w:rFonts w:hint="eastAsia" w:ascii="宋体" w:hAnsi="宋体"/>
          <w:lang w:val="de-DE"/>
        </w:rPr>
        <w:t>活动（“远程</w:t>
      </w:r>
      <w:r>
        <w:rPr>
          <w:rFonts w:hint="eastAsia" w:ascii="宋体" w:hAnsi="宋体"/>
        </w:rPr>
        <w:t>审核</w:t>
      </w:r>
      <w:r>
        <w:rPr>
          <w:rFonts w:hint="eastAsia" w:ascii="宋体" w:hAnsi="宋体"/>
          <w:lang w:val="de-DE"/>
        </w:rPr>
        <w:t>”）的</w:t>
      </w:r>
      <w:r>
        <w:rPr>
          <w:rFonts w:hint="eastAsia" w:ascii="宋体" w:hAnsi="宋体"/>
        </w:rPr>
        <w:t>程度</w:t>
      </w:r>
      <w:r>
        <w:rPr>
          <w:rFonts w:hint="eastAsia" w:ascii="宋体" w:hAnsi="宋体"/>
          <w:lang w:val="de-DE"/>
        </w:rPr>
        <w:t>。程序应包括</w:t>
      </w:r>
      <w:r>
        <w:rPr>
          <w:rFonts w:hint="eastAsia" w:ascii="宋体" w:hAnsi="宋体"/>
          <w:lang w:val="en-US" w:eastAsia="zh-CN"/>
        </w:rPr>
        <w:t>对在审核</w:t>
      </w:r>
      <w:r>
        <w:rPr>
          <w:rFonts w:hint="eastAsia" w:ascii="宋体" w:hAnsi="宋体"/>
          <w:lang w:val="de-DE"/>
        </w:rPr>
        <w:t>客户</w:t>
      </w:r>
      <w:r>
        <w:rPr>
          <w:rFonts w:hint="eastAsia" w:ascii="宋体" w:hAnsi="宋体"/>
          <w:lang w:val="en-US" w:eastAsia="zh-CN"/>
        </w:rPr>
        <w:t>时</w:t>
      </w:r>
      <w:r>
        <w:rPr>
          <w:rFonts w:hint="eastAsia" w:ascii="宋体" w:hAnsi="宋体"/>
          <w:lang w:val="de-DE"/>
        </w:rPr>
        <w:t>使用远程</w:t>
      </w:r>
      <w:r>
        <w:rPr>
          <w:rFonts w:hint="eastAsia" w:ascii="宋体" w:hAnsi="宋体"/>
        </w:rPr>
        <w:t>审核的</w:t>
      </w:r>
      <w:r>
        <w:rPr>
          <w:rFonts w:hint="eastAsia" w:ascii="宋体" w:hAnsi="宋体"/>
          <w:lang w:val="de-DE"/>
        </w:rPr>
        <w:t>相关风险</w:t>
      </w:r>
      <w:r>
        <w:rPr>
          <w:rFonts w:hint="eastAsia" w:ascii="宋体" w:hAnsi="宋体"/>
          <w:lang w:val="en-US" w:eastAsia="zh-CN"/>
        </w:rPr>
        <w:t>进行分析</w:t>
      </w:r>
      <w:r>
        <w:rPr>
          <w:rFonts w:hint="eastAsia" w:ascii="宋体" w:hAnsi="宋体"/>
          <w:lang w:val="de-DE"/>
        </w:rPr>
        <w:t>，</w:t>
      </w:r>
      <w:r>
        <w:rPr>
          <w:rFonts w:hint="eastAsia" w:ascii="宋体" w:hAnsi="宋体"/>
        </w:rPr>
        <w:t>风险分析时</w:t>
      </w:r>
      <w:r>
        <w:rPr>
          <w:rFonts w:hint="eastAsia" w:ascii="宋体" w:hAnsi="宋体"/>
          <w:lang w:val="de-DE"/>
        </w:rPr>
        <w:t>应考虑以下因素：</w:t>
      </w:r>
    </w:p>
    <w:p w14:paraId="14DE0EEB">
      <w:pPr>
        <w:pStyle w:val="85"/>
        <w:numPr>
          <w:ilvl w:val="0"/>
          <w:numId w:val="32"/>
        </w:numPr>
        <w:rPr>
          <w:rFonts w:hAnsi="宋体"/>
          <w:lang w:val="de-DE"/>
        </w:rPr>
      </w:pPr>
      <w:r>
        <w:rPr>
          <w:rFonts w:hint="eastAsia" w:hAnsi="宋体"/>
          <w:lang w:val="de-DE"/>
        </w:rPr>
        <w:t>认证机构和客户的可用基础设施；</w:t>
      </w:r>
    </w:p>
    <w:p w14:paraId="17005C57">
      <w:pPr>
        <w:pStyle w:val="85"/>
        <w:numPr>
          <w:ilvl w:val="0"/>
          <w:numId w:val="32"/>
        </w:numPr>
        <w:rPr>
          <w:rFonts w:hAnsi="宋体"/>
          <w:lang w:val="de-DE"/>
        </w:rPr>
      </w:pPr>
      <w:r>
        <w:rPr>
          <w:rFonts w:hint="eastAsia" w:hAnsi="宋体"/>
          <w:lang w:val="de-DE"/>
        </w:rPr>
        <w:t>客户</w:t>
      </w:r>
      <w:r>
        <w:rPr>
          <w:rFonts w:hint="eastAsia" w:hAnsi="宋体"/>
        </w:rPr>
        <w:t>所在的</w:t>
      </w:r>
      <w:r>
        <w:rPr>
          <w:rFonts w:hint="eastAsia" w:hAnsi="宋体"/>
          <w:lang w:val="de-DE"/>
        </w:rPr>
        <w:t>行业；</w:t>
      </w:r>
    </w:p>
    <w:p w14:paraId="73282D1E">
      <w:pPr>
        <w:pStyle w:val="85"/>
        <w:numPr>
          <w:ilvl w:val="0"/>
          <w:numId w:val="32"/>
        </w:numPr>
        <w:rPr>
          <w:rFonts w:hAnsi="宋体"/>
          <w:lang w:val="de-DE"/>
        </w:rPr>
      </w:pPr>
      <w:r>
        <w:rPr>
          <w:rFonts w:hint="eastAsia" w:hAnsi="宋体"/>
          <w:lang w:val="de-DE"/>
        </w:rPr>
        <w:t>从</w:t>
      </w:r>
      <w:r>
        <w:rPr>
          <w:rFonts w:hint="eastAsia" w:hAnsi="宋体"/>
        </w:rPr>
        <w:t>初次审核到再认证审核的认证周期内的审核类型</w:t>
      </w:r>
      <w:r>
        <w:rPr>
          <w:rFonts w:hint="eastAsia" w:hAnsi="宋体"/>
          <w:lang w:val="de-DE"/>
        </w:rPr>
        <w:t>；</w:t>
      </w:r>
    </w:p>
    <w:p w14:paraId="54578EFF">
      <w:pPr>
        <w:pStyle w:val="85"/>
        <w:numPr>
          <w:ilvl w:val="0"/>
          <w:numId w:val="32"/>
        </w:numPr>
        <w:rPr>
          <w:rFonts w:hAnsi="宋体"/>
          <w:lang w:val="de-DE"/>
        </w:rPr>
      </w:pPr>
      <w:r>
        <w:rPr>
          <w:rFonts w:hint="eastAsia" w:hAnsi="宋体"/>
        </w:rPr>
        <w:t>认证机构和客户</w:t>
      </w:r>
      <w:r>
        <w:rPr>
          <w:rFonts w:hint="eastAsia" w:hAnsi="宋体"/>
          <w:lang w:val="de-DE"/>
        </w:rPr>
        <w:t>参与远程</w:t>
      </w:r>
      <w:r>
        <w:rPr>
          <w:rFonts w:hint="eastAsia" w:hAnsi="宋体"/>
        </w:rPr>
        <w:t>审核</w:t>
      </w:r>
      <w:r>
        <w:rPr>
          <w:rFonts w:hint="eastAsia" w:hAnsi="宋体"/>
          <w:lang w:val="de-DE"/>
        </w:rPr>
        <w:t>的</w:t>
      </w:r>
      <w:r>
        <w:rPr>
          <w:rFonts w:hint="eastAsia" w:hAnsi="宋体"/>
        </w:rPr>
        <w:t>人员的能力</w:t>
      </w:r>
      <w:r>
        <w:rPr>
          <w:rFonts w:hint="eastAsia" w:hAnsi="宋体"/>
          <w:lang w:val="de-DE"/>
        </w:rPr>
        <w:t>；</w:t>
      </w:r>
    </w:p>
    <w:p w14:paraId="0C2948FA">
      <w:pPr>
        <w:pStyle w:val="85"/>
        <w:numPr>
          <w:ilvl w:val="0"/>
          <w:numId w:val="32"/>
        </w:numPr>
        <w:rPr>
          <w:rFonts w:hAnsi="宋体"/>
          <w:lang w:val="de-DE"/>
        </w:rPr>
      </w:pPr>
      <w:r>
        <w:rPr>
          <w:rFonts w:hint="eastAsia" w:hAnsi="宋体"/>
        </w:rPr>
        <w:t>以往已证实的</w:t>
      </w:r>
      <w:r>
        <w:rPr>
          <w:rFonts w:hint="eastAsia" w:hAnsi="宋体"/>
          <w:lang w:eastAsia="zh-CN"/>
        </w:rPr>
        <w:t>、</w:t>
      </w:r>
      <w:r>
        <w:rPr>
          <w:rFonts w:hint="eastAsia" w:hAnsi="宋体"/>
        </w:rPr>
        <w:t>对客户实施远程审核的绩效</w:t>
      </w:r>
      <w:r>
        <w:rPr>
          <w:rFonts w:hint="eastAsia" w:hAnsi="宋体"/>
          <w:lang w:val="de-DE"/>
        </w:rPr>
        <w:t>；</w:t>
      </w:r>
    </w:p>
    <w:p w14:paraId="7CE3A6E6">
      <w:pPr>
        <w:pStyle w:val="85"/>
        <w:numPr>
          <w:ilvl w:val="0"/>
          <w:numId w:val="32"/>
        </w:numPr>
        <w:rPr>
          <w:rFonts w:hAnsi="宋体"/>
          <w:lang w:val="de-DE"/>
        </w:rPr>
      </w:pPr>
      <w:r>
        <w:rPr>
          <w:rFonts w:hint="eastAsia" w:hAnsi="宋体"/>
          <w:lang w:val="de-DE"/>
        </w:rPr>
        <w:t>认证范围。</w:t>
      </w:r>
    </w:p>
    <w:p w14:paraId="1FCEA82F">
      <w:pPr>
        <w:ind w:firstLine="420" w:firstLineChars="200"/>
        <w:jc w:val="left"/>
        <w:rPr>
          <w:rFonts w:ascii="宋体" w:hAnsi="宋体"/>
          <w:lang w:val="de-DE"/>
        </w:rPr>
      </w:pPr>
      <w:r>
        <w:rPr>
          <w:rFonts w:hint="eastAsia" w:ascii="宋体" w:hAnsi="宋体"/>
          <w:lang w:val="de-DE"/>
        </w:rPr>
        <w:t>应在远程</w:t>
      </w:r>
      <w:r>
        <w:rPr>
          <w:rFonts w:hint="eastAsia" w:ascii="宋体" w:hAnsi="宋体"/>
        </w:rPr>
        <w:t>审核</w:t>
      </w:r>
      <w:r>
        <w:rPr>
          <w:rFonts w:hint="eastAsia" w:ascii="宋体" w:hAnsi="宋体"/>
          <w:lang w:val="en-US" w:eastAsia="zh-CN"/>
        </w:rPr>
        <w:t>实施</w:t>
      </w:r>
      <w:r>
        <w:rPr>
          <w:rFonts w:hint="eastAsia" w:ascii="宋体" w:hAnsi="宋体"/>
          <w:lang w:val="de-DE"/>
        </w:rPr>
        <w:t>前进行分析。认证周期内使用远程</w:t>
      </w:r>
      <w:r>
        <w:rPr>
          <w:rFonts w:hint="eastAsia" w:ascii="宋体" w:hAnsi="宋体"/>
        </w:rPr>
        <w:t>审核的风险分析和理由应</w:t>
      </w:r>
      <w:r>
        <w:rPr>
          <w:rFonts w:hint="eastAsia" w:ascii="宋体" w:hAnsi="宋体"/>
          <w:lang w:val="en-US" w:eastAsia="zh-CN"/>
        </w:rPr>
        <w:t>予以记录</w:t>
      </w:r>
      <w:r>
        <w:rPr>
          <w:rFonts w:hint="eastAsia" w:ascii="宋体" w:hAnsi="宋体"/>
          <w:lang w:val="de-DE"/>
        </w:rPr>
        <w:t>。</w:t>
      </w:r>
    </w:p>
    <w:p w14:paraId="28AB7502">
      <w:pPr>
        <w:ind w:firstLine="420" w:firstLineChars="200"/>
        <w:jc w:val="left"/>
        <w:rPr>
          <w:rFonts w:ascii="宋体" w:hAnsi="宋体"/>
          <w:lang w:val="de-DE"/>
        </w:rPr>
      </w:pPr>
      <w:r>
        <w:rPr>
          <w:rFonts w:hint="eastAsia" w:ascii="宋体" w:hAnsi="宋体"/>
        </w:rPr>
        <w:t>审核计划和审核报告应清楚地说明是否实施了远程审核活动。</w:t>
      </w:r>
    </w:p>
    <w:p w14:paraId="48A12D01">
      <w:pPr>
        <w:ind w:firstLine="420" w:firstLineChars="200"/>
        <w:jc w:val="left"/>
        <w:rPr>
          <w:rFonts w:ascii="宋体" w:hAnsi="宋体"/>
          <w:lang w:val="de-DE"/>
        </w:rPr>
      </w:pPr>
      <w:r>
        <w:rPr>
          <w:rFonts w:hint="eastAsia" w:ascii="宋体" w:hAnsi="宋体"/>
          <w:lang w:val="de-DE"/>
        </w:rPr>
        <w:t>如果风险评估发现</w:t>
      </w:r>
      <w:r>
        <w:rPr>
          <w:rFonts w:hint="eastAsia" w:ascii="宋体" w:hAnsi="宋体"/>
        </w:rPr>
        <w:t>对审核过程的有效性</w:t>
      </w:r>
      <w:r>
        <w:rPr>
          <w:rFonts w:hint="eastAsia" w:ascii="宋体" w:hAnsi="宋体"/>
          <w:lang w:val="de-DE"/>
        </w:rPr>
        <w:t>存在不可接受的风险，则不应使用远程</w:t>
      </w:r>
      <w:r>
        <w:rPr>
          <w:rFonts w:hint="eastAsia" w:ascii="宋体" w:hAnsi="宋体"/>
        </w:rPr>
        <w:t>审核</w:t>
      </w:r>
      <w:r>
        <w:rPr>
          <w:rFonts w:hint="eastAsia" w:ascii="宋体" w:hAnsi="宋体"/>
          <w:lang w:val="de-DE"/>
        </w:rPr>
        <w:t>。</w:t>
      </w:r>
    </w:p>
    <w:p w14:paraId="3E0DA362">
      <w:pPr>
        <w:ind w:firstLine="420" w:firstLineChars="200"/>
        <w:jc w:val="left"/>
        <w:rPr>
          <w:rFonts w:ascii="宋体" w:hAnsi="宋体"/>
          <w:lang w:val="de-DE"/>
        </w:rPr>
      </w:pPr>
      <w:r>
        <w:rPr>
          <w:rFonts w:hint="eastAsia" w:ascii="宋体" w:hAnsi="宋体"/>
          <w:lang w:val="de-DE"/>
        </w:rPr>
        <w:t>风险评估应在认证周期内进行</w:t>
      </w:r>
      <w:r>
        <w:rPr>
          <w:rFonts w:hint="eastAsia" w:ascii="宋体" w:hAnsi="宋体"/>
          <w:lang w:val="en-US" w:eastAsia="zh-CN"/>
        </w:rPr>
        <w:t>评审</w:t>
      </w:r>
      <w:r>
        <w:rPr>
          <w:rFonts w:hint="eastAsia" w:ascii="宋体" w:hAnsi="宋体"/>
          <w:lang w:val="de-DE"/>
        </w:rPr>
        <w:t>，以确保其持续适用性。</w:t>
      </w:r>
    </w:p>
    <w:p w14:paraId="15460946">
      <w:pPr>
        <w:pStyle w:val="36"/>
        <w:ind w:firstLine="360"/>
        <w:rPr>
          <w:rFonts w:hAnsi="宋体"/>
          <w:sz w:val="18"/>
          <w:szCs w:val="18"/>
          <w:lang w:val="de-DE"/>
        </w:rPr>
      </w:pPr>
      <w:r>
        <w:rPr>
          <w:rFonts w:hint="eastAsia" w:ascii="黑体" w:hAnsi="黑体" w:eastAsia="黑体"/>
          <w:sz w:val="18"/>
          <w:szCs w:val="18"/>
        </w:rPr>
        <w:t>注：</w:t>
      </w:r>
      <w:r>
        <w:rPr>
          <w:rFonts w:hint="eastAsia" w:hAnsi="宋体"/>
          <w:sz w:val="18"/>
          <w:szCs w:val="18"/>
          <w:lang w:val="de-DE"/>
        </w:rPr>
        <w:t>如果客户使用虚拟</w:t>
      </w:r>
      <w:r>
        <w:rPr>
          <w:rFonts w:hint="eastAsia" w:hAnsi="宋体"/>
          <w:sz w:val="18"/>
          <w:szCs w:val="18"/>
        </w:rPr>
        <w:t>场所</w:t>
      </w:r>
      <w:r>
        <w:rPr>
          <w:rFonts w:hint="eastAsia" w:hAnsi="宋体"/>
          <w:sz w:val="18"/>
          <w:szCs w:val="18"/>
          <w:lang w:val="de-DE"/>
        </w:rPr>
        <w:t>（即</w:t>
      </w:r>
      <w:r>
        <w:rPr>
          <w:rFonts w:hint="eastAsia" w:hAnsi="宋体"/>
          <w:sz w:val="18"/>
          <w:szCs w:val="18"/>
          <w:lang w:val="de-DE" w:eastAsia="zh-CN"/>
        </w:rPr>
        <w:t>：</w:t>
      </w:r>
      <w:r>
        <w:rPr>
          <w:rFonts w:hint="eastAsia" w:hAnsi="宋体"/>
          <w:sz w:val="18"/>
          <w:szCs w:val="18"/>
          <w:lang w:val="de-DE"/>
        </w:rPr>
        <w:t>组织</w:t>
      </w:r>
      <w:r>
        <w:rPr>
          <w:rFonts w:hint="eastAsia" w:hAnsi="宋体"/>
          <w:sz w:val="18"/>
          <w:szCs w:val="18"/>
        </w:rPr>
        <w:t>利用网络</w:t>
      </w:r>
      <w:r>
        <w:rPr>
          <w:rFonts w:hint="eastAsia" w:hAnsi="宋体"/>
          <w:sz w:val="18"/>
          <w:szCs w:val="18"/>
          <w:lang w:val="de-DE"/>
        </w:rPr>
        <w:t>环境</w:t>
      </w:r>
      <w:r>
        <w:rPr>
          <w:rFonts w:hint="eastAsia" w:hAnsi="宋体"/>
          <w:sz w:val="18"/>
          <w:szCs w:val="18"/>
          <w:lang w:val="en-US" w:eastAsia="zh-CN"/>
        </w:rPr>
        <w:t>完成</w:t>
      </w:r>
      <w:r>
        <w:rPr>
          <w:rFonts w:hint="eastAsia" w:hAnsi="宋体"/>
          <w:sz w:val="18"/>
          <w:szCs w:val="18"/>
          <w:lang w:val="de-DE"/>
        </w:rPr>
        <w:t>工作或提供服务的</w:t>
      </w:r>
      <w:r>
        <w:rPr>
          <w:rFonts w:hint="eastAsia" w:hAnsi="宋体"/>
          <w:sz w:val="18"/>
          <w:szCs w:val="18"/>
        </w:rPr>
        <w:t>地点</w:t>
      </w:r>
      <w:r>
        <w:rPr>
          <w:rFonts w:hint="eastAsia" w:hAnsi="宋体"/>
          <w:sz w:val="18"/>
          <w:szCs w:val="18"/>
          <w:lang w:val="de-DE"/>
        </w:rPr>
        <w:t>，</w:t>
      </w:r>
      <w:r>
        <w:rPr>
          <w:rFonts w:hint="eastAsia" w:hAnsi="宋体"/>
          <w:sz w:val="18"/>
          <w:szCs w:val="18"/>
        </w:rPr>
        <w:t>相关人员通过网络环境执行流程，不受其所在物理位置的影响。</w:t>
      </w:r>
      <w:r>
        <w:rPr>
          <w:rFonts w:hint="eastAsia" w:hAnsi="宋体"/>
          <w:sz w:val="18"/>
          <w:szCs w:val="18"/>
          <w:lang w:val="de-DE"/>
        </w:rPr>
        <w:t>），远程</w:t>
      </w:r>
      <w:r>
        <w:rPr>
          <w:rFonts w:hint="eastAsia" w:hAnsi="宋体"/>
          <w:sz w:val="18"/>
          <w:szCs w:val="18"/>
        </w:rPr>
        <w:t>审核技术</w:t>
      </w:r>
      <w:r>
        <w:rPr>
          <w:rFonts w:hint="eastAsia" w:hAnsi="宋体"/>
          <w:sz w:val="18"/>
          <w:szCs w:val="18"/>
          <w:lang w:val="de-DE"/>
        </w:rPr>
        <w:t>是</w:t>
      </w:r>
      <w:r>
        <w:rPr>
          <w:rFonts w:hint="eastAsia" w:hAnsi="宋体"/>
          <w:sz w:val="18"/>
          <w:szCs w:val="18"/>
        </w:rPr>
        <w:t>审核计划的</w:t>
      </w:r>
      <w:r>
        <w:rPr>
          <w:rFonts w:hint="eastAsia" w:hAnsi="宋体"/>
          <w:sz w:val="18"/>
          <w:szCs w:val="18"/>
          <w:lang w:val="en-US" w:eastAsia="zh-CN"/>
        </w:rPr>
        <w:t>一个</w:t>
      </w:r>
      <w:r>
        <w:rPr>
          <w:rFonts w:hint="eastAsia" w:hAnsi="宋体"/>
          <w:sz w:val="18"/>
          <w:szCs w:val="18"/>
          <w:lang w:val="de-DE"/>
        </w:rPr>
        <w:t>相关部分。</w:t>
      </w:r>
    </w:p>
    <w:p w14:paraId="7812B39D">
      <w:pPr>
        <w:pStyle w:val="70"/>
        <w:numPr>
          <w:ilvl w:val="0"/>
          <w:numId w:val="0"/>
        </w:numPr>
        <w:spacing w:before="156" w:after="156"/>
        <w:rPr>
          <w:rFonts w:hAnsi="黑体"/>
        </w:rPr>
      </w:pPr>
      <w:r>
        <w:rPr>
          <w:rFonts w:hint="eastAsia" w:hAnsi="黑体"/>
        </w:rPr>
        <w:t xml:space="preserve">9.1.3.4 </w:t>
      </w:r>
      <w:r>
        <w:rPr>
          <w:rFonts w:hint="eastAsia" w:hAnsi="黑体"/>
          <w:lang w:val="en-US" w:eastAsia="zh-CN"/>
        </w:rPr>
        <w:t xml:space="preserve"> </w:t>
      </w:r>
      <w:r>
        <w:rPr>
          <w:rFonts w:hint="eastAsia" w:hAnsi="黑体"/>
        </w:rPr>
        <w:t>初次审核的总体准备</w:t>
      </w:r>
    </w:p>
    <w:p w14:paraId="3B4347F8">
      <w:pPr>
        <w:pStyle w:val="70"/>
        <w:numPr>
          <w:ilvl w:val="0"/>
          <w:numId w:val="0"/>
        </w:numPr>
        <w:spacing w:before="156" w:after="156"/>
        <w:ind w:firstLine="420" w:firstLineChars="200"/>
        <w:rPr>
          <w:rFonts w:hAnsi="宋体"/>
        </w:rPr>
      </w:pPr>
      <w:r>
        <w:rPr>
          <w:rFonts w:hint="eastAsia" w:ascii="宋体" w:hAnsi="宋体" w:eastAsia="宋体"/>
          <w:kern w:val="2"/>
          <w:szCs w:val="24"/>
          <w:lang w:val="de-DE"/>
        </w:rPr>
        <w:t>认证机构应要求客户为调阅内部审核报告和信息安全独立评审报告做出所有的必要安排。</w:t>
      </w:r>
    </w:p>
    <w:p w14:paraId="147AA524">
      <w:pPr>
        <w:pStyle w:val="70"/>
        <w:numPr>
          <w:ilvl w:val="0"/>
          <w:numId w:val="0"/>
        </w:numPr>
        <w:spacing w:before="156" w:after="156"/>
        <w:rPr>
          <w:rFonts w:hAnsi="黑体"/>
        </w:rPr>
      </w:pPr>
      <w:r>
        <w:rPr>
          <w:rFonts w:hint="eastAsia" w:hAnsi="黑体"/>
        </w:rPr>
        <w:t>9.1.3.5</w:t>
      </w:r>
      <w:r>
        <w:rPr>
          <w:rFonts w:hint="eastAsia" w:hAnsi="黑体"/>
          <w:lang w:val="en-US" w:eastAsia="zh-CN"/>
        </w:rPr>
        <w:t xml:space="preserve"> </w:t>
      </w:r>
      <w:r>
        <w:rPr>
          <w:rFonts w:hint="eastAsia" w:hAnsi="黑体"/>
        </w:rPr>
        <w:t xml:space="preserve"> </w:t>
      </w:r>
      <w:r>
        <w:rPr>
          <w:rFonts w:hint="eastAsia" w:hAnsi="黑体"/>
          <w:highlight w:val="none"/>
          <w:lang w:val="en-US" w:eastAsia="zh-CN"/>
        </w:rPr>
        <w:t>审核</w:t>
      </w:r>
      <w:r>
        <w:rPr>
          <w:rFonts w:hint="eastAsia" w:hAnsi="黑体"/>
        </w:rPr>
        <w:t>周期</w:t>
      </w:r>
    </w:p>
    <w:p w14:paraId="783E3E46">
      <w:pPr>
        <w:ind w:firstLine="420" w:firstLineChars="200"/>
        <w:jc w:val="left"/>
        <w:rPr>
          <w:rFonts w:ascii="宋体" w:hAnsi="宋体"/>
          <w:szCs w:val="21"/>
        </w:rPr>
      </w:pPr>
      <w:r>
        <w:rPr>
          <w:rFonts w:hint="eastAsia" w:ascii="宋体" w:hAnsi="宋体"/>
          <w:szCs w:val="21"/>
        </w:rPr>
        <w:t>只有有充分的证据证实覆盖认证范围的管理评审和ISMS内部审核的安排已经实施</w:t>
      </w:r>
      <w:r>
        <w:rPr>
          <w:rFonts w:hint="eastAsia" w:ascii="宋体" w:hAnsi="宋体"/>
          <w:szCs w:val="21"/>
          <w:lang w:eastAsia="zh-CN"/>
        </w:rPr>
        <w:t>、</w:t>
      </w:r>
      <w:r>
        <w:rPr>
          <w:rFonts w:hint="eastAsia" w:ascii="宋体" w:hAnsi="宋体"/>
          <w:szCs w:val="21"/>
        </w:rPr>
        <w:t>是有效的并将得到保持，认证机构才能认证客户的ISMS。</w:t>
      </w:r>
    </w:p>
    <w:p w14:paraId="575BF51E">
      <w:pPr>
        <w:pStyle w:val="70"/>
        <w:numPr>
          <w:ilvl w:val="0"/>
          <w:numId w:val="0"/>
        </w:numPr>
        <w:spacing w:before="156" w:after="156"/>
        <w:rPr>
          <w:rFonts w:hAnsi="黑体"/>
        </w:rPr>
      </w:pPr>
      <w:r>
        <w:rPr>
          <w:rFonts w:hint="eastAsia" w:hAnsi="黑体"/>
        </w:rPr>
        <w:t>9.1.3.6</w:t>
      </w:r>
      <w:r>
        <w:rPr>
          <w:rFonts w:hint="eastAsia" w:hAnsi="黑体"/>
          <w:lang w:val="en-US" w:eastAsia="zh-CN"/>
        </w:rPr>
        <w:t xml:space="preserve"> </w:t>
      </w:r>
      <w:r>
        <w:rPr>
          <w:rFonts w:hint="eastAsia" w:hAnsi="黑体"/>
        </w:rPr>
        <w:t xml:space="preserve"> ISMS认证范围</w:t>
      </w:r>
    </w:p>
    <w:p w14:paraId="3CD6B62E">
      <w:pPr>
        <w:ind w:firstLine="420" w:firstLineChars="200"/>
        <w:jc w:val="left"/>
        <w:rPr>
          <w:rFonts w:ascii="宋体" w:hAnsi="宋体"/>
          <w:lang w:val="de-DE"/>
        </w:rPr>
      </w:pPr>
      <w:r>
        <w:rPr>
          <w:rFonts w:hint="eastAsia" w:ascii="宋体" w:hAnsi="宋体"/>
          <w:lang w:val="de-DE"/>
        </w:rPr>
        <w:t>审核组应根据所有适用的认证要求，对在确定范围内的客户ISMS进行审核。认证机构应确认客户在其ISMS范围内满足</w:t>
      </w:r>
      <w:r>
        <w:rPr>
          <w:rFonts w:ascii="宋体" w:hAnsi="宋体"/>
          <w:lang w:val="de-DE"/>
        </w:rPr>
        <w:t>GB/T 22080</w:t>
      </w:r>
      <w:r>
        <w:rPr>
          <w:rFonts w:hint="eastAsia"/>
        </w:rPr>
        <w:t>—</w:t>
      </w:r>
      <w:r>
        <w:rPr>
          <w:rFonts w:ascii="宋体" w:hAnsi="宋体"/>
          <w:lang w:val="de-DE"/>
        </w:rPr>
        <w:t>20</w:t>
      </w:r>
      <w:r>
        <w:rPr>
          <w:rFonts w:hint="eastAsia" w:ascii="宋体" w:hAnsi="宋体"/>
        </w:rPr>
        <w:t>2X</w:t>
      </w:r>
      <w:r>
        <w:rPr>
          <w:rFonts w:hint="eastAsia" w:ascii="宋体" w:hAnsi="宋体"/>
          <w:lang w:val="de-DE"/>
        </w:rPr>
        <w:t>中4.3的要求。</w:t>
      </w:r>
    </w:p>
    <w:p w14:paraId="0FBE0048">
      <w:pPr>
        <w:ind w:firstLine="420" w:firstLineChars="200"/>
        <w:rPr>
          <w:rFonts w:ascii="宋体" w:hAnsi="宋体"/>
          <w:lang w:val="de-DE"/>
        </w:rPr>
      </w:pPr>
      <w:r>
        <w:rPr>
          <w:rFonts w:hint="eastAsia" w:ascii="宋体" w:hAnsi="宋体"/>
          <w:lang w:val="de-DE"/>
        </w:rPr>
        <w:t>认证机构应确保：客户的信息安全风险评估和风险处置准确地体现</w:t>
      </w:r>
      <w:r>
        <w:rPr>
          <w:rFonts w:hint="eastAsia" w:ascii="宋体" w:hAnsi="宋体"/>
        </w:rPr>
        <w:t>其认证范围所界定的</w:t>
      </w:r>
      <w:r>
        <w:rPr>
          <w:rFonts w:hint="eastAsia" w:ascii="宋体" w:hAnsi="宋体"/>
          <w:lang w:val="de-DE"/>
        </w:rPr>
        <w:t>活动，并延伸到</w:t>
      </w:r>
      <w:r>
        <w:rPr>
          <w:rFonts w:hint="eastAsia" w:ascii="宋体" w:hAnsi="宋体"/>
        </w:rPr>
        <w:t>其</w:t>
      </w:r>
      <w:r>
        <w:rPr>
          <w:rFonts w:hint="eastAsia" w:ascii="宋体" w:hAnsi="宋体"/>
          <w:lang w:val="de-DE"/>
        </w:rPr>
        <w:t>活动的边界。认证机构应确认这在客户的ISMS范围和适用性声明中得到了体现。认证机构应验证认证范围</w:t>
      </w:r>
      <w:r>
        <w:rPr>
          <w:rFonts w:hint="eastAsia" w:ascii="宋体" w:hAnsi="宋体"/>
        </w:rPr>
        <w:t>有</w:t>
      </w:r>
      <w:r>
        <w:rPr>
          <w:rFonts w:hint="eastAsia" w:ascii="宋体" w:hAnsi="宋体"/>
          <w:lang w:val="de-DE"/>
        </w:rPr>
        <w:t>适用性声明。</w:t>
      </w:r>
    </w:p>
    <w:p w14:paraId="28CEF9F4">
      <w:pPr>
        <w:ind w:firstLine="420" w:firstLineChars="200"/>
        <w:rPr>
          <w:rFonts w:ascii="宋体" w:hAnsi="宋体"/>
          <w:lang w:val="de-DE"/>
        </w:rPr>
      </w:pPr>
      <w:r>
        <w:rPr>
          <w:rFonts w:hint="eastAsia" w:ascii="宋体" w:hAnsi="宋体"/>
          <w:lang w:val="de-DE"/>
        </w:rPr>
        <w:t>认证机构应确保：与不完全包含在ISMS范围内的服务或活动的接口，已在寻求认证的ISMS中得到说明，并已</w:t>
      </w:r>
      <w:r>
        <w:rPr>
          <w:rFonts w:hint="eastAsia" w:ascii="宋体" w:hAnsi="宋体"/>
          <w:lang w:val="en-US" w:eastAsia="zh-CN"/>
        </w:rPr>
        <w:t>纳入</w:t>
      </w:r>
      <w:r>
        <w:rPr>
          <w:rFonts w:hint="eastAsia" w:ascii="宋体" w:hAnsi="宋体"/>
          <w:lang w:val="de-DE"/>
        </w:rPr>
        <w:t>客户的信息安全风险评估中。与其他</w:t>
      </w:r>
      <w:r>
        <w:rPr>
          <w:rFonts w:hint="eastAsia" w:ascii="宋体" w:hAnsi="宋体"/>
        </w:rPr>
        <w:t>组织</w:t>
      </w:r>
      <w:r>
        <w:rPr>
          <w:rFonts w:hint="eastAsia" w:ascii="宋体" w:hAnsi="宋体"/>
          <w:lang w:val="de-DE"/>
        </w:rPr>
        <w:t>共享设施（例如，</w:t>
      </w:r>
      <w:r>
        <w:rPr>
          <w:rFonts w:hint="eastAsia" w:ascii="宋体" w:hAnsi="宋体"/>
        </w:rPr>
        <w:t>信息技术</w:t>
      </w:r>
      <w:r>
        <w:rPr>
          <w:rFonts w:hint="eastAsia" w:ascii="宋体" w:hAnsi="宋体"/>
          <w:lang w:val="de-DE"/>
        </w:rPr>
        <w:t>系统、数据库、通</w:t>
      </w:r>
      <w:r>
        <w:rPr>
          <w:rFonts w:ascii="宋体" w:hAnsi="宋体"/>
          <w:lang w:val="de-DE"/>
        </w:rPr>
        <w:t>信</w:t>
      </w:r>
      <w:r>
        <w:rPr>
          <w:rFonts w:hint="eastAsia" w:ascii="宋体" w:hAnsi="宋体"/>
          <w:lang w:val="de-DE"/>
        </w:rPr>
        <w:t>系统或业务职能</w:t>
      </w:r>
      <w:r>
        <w:rPr>
          <w:rFonts w:hint="eastAsia" w:ascii="宋体" w:hAnsi="宋体"/>
        </w:rPr>
        <w:t>外包</w:t>
      </w:r>
      <w:r>
        <w:rPr>
          <w:rFonts w:hint="eastAsia" w:ascii="宋体" w:hAnsi="宋体"/>
          <w:lang w:val="de-DE"/>
        </w:rPr>
        <w:t>），是这类情形的示例。</w:t>
      </w:r>
    </w:p>
    <w:p w14:paraId="7C5FCA4B">
      <w:pPr>
        <w:pStyle w:val="70"/>
        <w:numPr>
          <w:ilvl w:val="0"/>
          <w:numId w:val="0"/>
        </w:numPr>
        <w:spacing w:before="156" w:after="156"/>
        <w:rPr>
          <w:rFonts w:hAnsi="黑体"/>
        </w:rPr>
      </w:pPr>
      <w:r>
        <w:rPr>
          <w:rFonts w:hAnsi="黑体"/>
        </w:rPr>
        <w:t>9.1.4</w:t>
      </w:r>
      <w:r>
        <w:rPr>
          <w:rFonts w:hint="eastAsia" w:hAnsi="黑体"/>
        </w:rPr>
        <w:t>　确定审核时间</w:t>
      </w:r>
    </w:p>
    <w:p w14:paraId="73CC7B4C">
      <w:pPr>
        <w:pStyle w:val="70"/>
        <w:numPr>
          <w:ilvl w:val="0"/>
          <w:numId w:val="0"/>
        </w:numPr>
        <w:spacing w:before="156" w:after="156"/>
        <w:rPr>
          <w:rFonts w:hAnsi="黑体"/>
        </w:rPr>
      </w:pPr>
      <w:r>
        <w:rPr>
          <w:rFonts w:hint="eastAsia" w:hAnsi="黑体"/>
        </w:rPr>
        <w:t>9.1.4.1</w:t>
      </w:r>
      <w:r>
        <w:rPr>
          <w:rFonts w:hint="eastAsia" w:hAnsi="黑体"/>
          <w:lang w:val="en-US" w:eastAsia="zh-CN"/>
        </w:rPr>
        <w:t xml:space="preserve"> </w:t>
      </w:r>
      <w:r>
        <w:rPr>
          <w:rFonts w:hint="eastAsia" w:hAnsi="黑体"/>
        </w:rPr>
        <w:t xml:space="preserve"> 总则</w:t>
      </w:r>
    </w:p>
    <w:p w14:paraId="19D08817">
      <w:pPr>
        <w:ind w:firstLine="420" w:firstLineChars="200"/>
        <w:jc w:val="left"/>
        <w:rPr>
          <w:rFonts w:ascii="宋体" w:hAnsi="宋体"/>
          <w:szCs w:val="21"/>
          <w:lang w:val="de-DE"/>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中9.1.4的</w:t>
      </w:r>
      <w:r>
        <w:rPr>
          <w:rFonts w:hint="eastAsia" w:ascii="宋体" w:hAnsi="宋体"/>
          <w:lang w:val="de-DE"/>
        </w:rPr>
        <w:t>要求</w:t>
      </w:r>
      <w:r>
        <w:rPr>
          <w:rFonts w:hint="eastAsia" w:ascii="宋体" w:hAnsi="宋体"/>
          <w:kern w:val="0"/>
          <w:szCs w:val="21"/>
          <w:lang w:val="de-DE"/>
        </w:rPr>
        <w:t>适用。并且，</w:t>
      </w:r>
      <w:r>
        <w:rPr>
          <w:rFonts w:hint="eastAsia" w:ascii="宋体" w:hAnsi="宋体"/>
          <w:kern w:val="0"/>
          <w:szCs w:val="21"/>
        </w:rPr>
        <w:t>9.1.4.2的</w:t>
      </w:r>
      <w:r>
        <w:rPr>
          <w:rFonts w:hint="eastAsia" w:ascii="宋体" w:hAnsi="宋体"/>
          <w:kern w:val="0"/>
          <w:szCs w:val="21"/>
          <w:lang w:val="de-DE"/>
        </w:rPr>
        <w:t>要求和指南适用</w:t>
      </w:r>
      <w:r>
        <w:rPr>
          <w:rFonts w:hint="eastAsia" w:ascii="宋体" w:hAnsi="宋体"/>
          <w:szCs w:val="21"/>
        </w:rPr>
        <w:t>。</w:t>
      </w:r>
    </w:p>
    <w:p w14:paraId="33B629B6">
      <w:pPr>
        <w:pStyle w:val="70"/>
        <w:numPr>
          <w:ilvl w:val="0"/>
          <w:numId w:val="0"/>
        </w:numPr>
        <w:spacing w:before="156" w:after="156"/>
        <w:rPr>
          <w:rFonts w:hAnsi="黑体"/>
        </w:rPr>
      </w:pPr>
      <w:r>
        <w:rPr>
          <w:rFonts w:hint="eastAsia" w:hAnsi="黑体"/>
        </w:rPr>
        <w:t xml:space="preserve">9.1.4.2 </w:t>
      </w:r>
      <w:r>
        <w:rPr>
          <w:rFonts w:hint="eastAsia" w:hAnsi="黑体"/>
          <w:lang w:val="en-US" w:eastAsia="zh-CN"/>
        </w:rPr>
        <w:t xml:space="preserve"> </w:t>
      </w:r>
      <w:r>
        <w:rPr>
          <w:rFonts w:hint="eastAsia" w:hAnsi="黑体"/>
        </w:rPr>
        <w:t>审核时间</w:t>
      </w:r>
    </w:p>
    <w:p w14:paraId="54E987EE">
      <w:pPr>
        <w:widowControl/>
        <w:ind w:firstLine="420" w:firstLineChars="200"/>
        <w:jc w:val="left"/>
        <w:rPr>
          <w:rFonts w:ascii="宋体" w:hAnsi="宋体"/>
          <w:kern w:val="0"/>
          <w:szCs w:val="21"/>
          <w:lang w:val="de-DE"/>
        </w:rPr>
      </w:pPr>
      <w:r>
        <w:rPr>
          <w:rFonts w:hint="eastAsia" w:ascii="宋体" w:hAnsi="宋体"/>
          <w:kern w:val="0"/>
          <w:szCs w:val="21"/>
          <w:lang w:val="de-DE"/>
        </w:rPr>
        <w:t>认证机构应使用附录</w:t>
      </w:r>
      <w:r>
        <w:rPr>
          <w:rFonts w:hint="eastAsia" w:ascii="宋体" w:hAnsi="宋体"/>
          <w:kern w:val="0"/>
          <w:szCs w:val="21"/>
        </w:rPr>
        <w:t>C</w:t>
      </w:r>
      <w:r>
        <w:rPr>
          <w:rFonts w:hint="eastAsia" w:ascii="宋体" w:hAnsi="宋体"/>
          <w:kern w:val="0"/>
          <w:szCs w:val="21"/>
          <w:lang w:val="de-DE"/>
        </w:rPr>
        <w:t>来确定审核时间。</w:t>
      </w:r>
    </w:p>
    <w:p w14:paraId="42F7DEB3">
      <w:pPr>
        <w:pStyle w:val="36"/>
        <w:ind w:firstLine="360"/>
        <w:rPr>
          <w:rFonts w:hAnsi="宋体"/>
          <w:sz w:val="18"/>
          <w:szCs w:val="18"/>
          <w:lang w:val="de-DE"/>
        </w:rPr>
      </w:pPr>
      <w:r>
        <w:rPr>
          <w:rFonts w:hint="eastAsia" w:ascii="黑体" w:hAnsi="黑体" w:eastAsia="黑体"/>
          <w:sz w:val="18"/>
          <w:szCs w:val="18"/>
          <w:lang w:val="de-DE"/>
        </w:rPr>
        <w:t>注：</w:t>
      </w:r>
      <w:r>
        <w:rPr>
          <w:rFonts w:hint="eastAsia" w:hAnsi="宋体"/>
          <w:sz w:val="18"/>
          <w:szCs w:val="18"/>
          <w:lang w:val="de-DE"/>
        </w:rPr>
        <w:t>附录</w:t>
      </w:r>
      <w:r>
        <w:rPr>
          <w:rFonts w:hint="eastAsia" w:hAnsi="宋体"/>
          <w:sz w:val="18"/>
          <w:szCs w:val="18"/>
        </w:rPr>
        <w:t>D</w:t>
      </w:r>
      <w:r>
        <w:rPr>
          <w:rFonts w:hint="eastAsia" w:hAnsi="宋体"/>
          <w:sz w:val="18"/>
          <w:szCs w:val="18"/>
          <w:lang w:val="de-DE"/>
        </w:rPr>
        <w:t>进一步提供了计算审核时间的指南和示例。</w:t>
      </w:r>
    </w:p>
    <w:p w14:paraId="3ED3B7DB">
      <w:pPr>
        <w:pStyle w:val="70"/>
        <w:numPr>
          <w:ilvl w:val="0"/>
          <w:numId w:val="0"/>
        </w:numPr>
        <w:spacing w:before="156" w:after="156"/>
        <w:rPr>
          <w:rFonts w:hAnsi="黑体"/>
        </w:rPr>
      </w:pPr>
      <w:r>
        <w:rPr>
          <w:rFonts w:hAnsi="黑体"/>
        </w:rPr>
        <w:t>9.1.5</w:t>
      </w:r>
      <w:r>
        <w:rPr>
          <w:rFonts w:hint="eastAsia" w:hAnsi="黑体"/>
        </w:rPr>
        <w:t>　</w:t>
      </w:r>
      <w:r>
        <w:rPr>
          <w:rFonts w:hAnsi="黑体"/>
        </w:rPr>
        <w:t>多场所的抽样</w:t>
      </w:r>
    </w:p>
    <w:p w14:paraId="2DEE6783">
      <w:pPr>
        <w:pStyle w:val="70"/>
        <w:numPr>
          <w:ilvl w:val="0"/>
          <w:numId w:val="0"/>
        </w:numPr>
        <w:spacing w:before="156" w:after="156"/>
        <w:rPr>
          <w:rFonts w:hAnsi="黑体"/>
        </w:rPr>
      </w:pPr>
      <w:r>
        <w:rPr>
          <w:rFonts w:hint="eastAsia" w:hAnsi="黑体"/>
        </w:rPr>
        <w:t>9.1.5.1</w:t>
      </w:r>
      <w:r>
        <w:rPr>
          <w:rFonts w:hint="eastAsia" w:hAnsi="黑体"/>
          <w:lang w:val="en-US" w:eastAsia="zh-CN"/>
        </w:rPr>
        <w:t xml:space="preserve"> </w:t>
      </w:r>
      <w:r>
        <w:rPr>
          <w:rFonts w:hint="eastAsia" w:hAnsi="黑体"/>
        </w:rPr>
        <w:t xml:space="preserve"> 总则</w:t>
      </w:r>
    </w:p>
    <w:p w14:paraId="49AD5CDD">
      <w:pPr>
        <w:ind w:firstLine="420" w:firstLineChars="200"/>
        <w:jc w:val="left"/>
        <w:rPr>
          <w:rFonts w:ascii="宋体" w:hAnsi="宋体"/>
          <w:szCs w:val="21"/>
          <w:lang w:val="de-DE"/>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中9.1.5的要求适用。并且，</w:t>
      </w:r>
      <w:r>
        <w:rPr>
          <w:rFonts w:hint="eastAsia" w:ascii="宋体" w:hAnsi="宋体"/>
          <w:kern w:val="0"/>
          <w:szCs w:val="21"/>
        </w:rPr>
        <w:t>9.1.5.2的</w:t>
      </w:r>
      <w:r>
        <w:rPr>
          <w:rFonts w:hint="eastAsia" w:ascii="宋体" w:hAnsi="宋体"/>
          <w:kern w:val="0"/>
          <w:szCs w:val="21"/>
          <w:lang w:val="de-DE"/>
        </w:rPr>
        <w:t>要求和指南适用</w:t>
      </w:r>
      <w:r>
        <w:rPr>
          <w:rFonts w:hint="eastAsia" w:ascii="宋体" w:hAnsi="宋体"/>
          <w:szCs w:val="21"/>
        </w:rPr>
        <w:t>。</w:t>
      </w:r>
    </w:p>
    <w:p w14:paraId="22491D1E">
      <w:pPr>
        <w:pStyle w:val="70"/>
        <w:numPr>
          <w:ilvl w:val="0"/>
          <w:numId w:val="0"/>
        </w:numPr>
        <w:spacing w:before="156" w:after="156"/>
        <w:rPr>
          <w:rFonts w:hAnsi="黑体"/>
        </w:rPr>
      </w:pPr>
      <w:r>
        <w:rPr>
          <w:rFonts w:hint="eastAsia" w:hAnsi="黑体"/>
        </w:rPr>
        <w:t xml:space="preserve">9.1.5.2 </w:t>
      </w:r>
      <w:r>
        <w:rPr>
          <w:rFonts w:hint="eastAsia" w:hAnsi="黑体"/>
          <w:lang w:val="en-US" w:eastAsia="zh-CN"/>
        </w:rPr>
        <w:t xml:space="preserve"> </w:t>
      </w:r>
      <w:r>
        <w:rPr>
          <w:rFonts w:hint="eastAsia" w:hAnsi="黑体"/>
        </w:rPr>
        <w:t>多场所</w:t>
      </w:r>
    </w:p>
    <w:p w14:paraId="38C586D9">
      <w:pPr>
        <w:pStyle w:val="75"/>
        <w:numPr>
          <w:ilvl w:val="0"/>
          <w:numId w:val="0"/>
        </w:numPr>
        <w:spacing w:before="156" w:after="156"/>
        <w:rPr>
          <w:rFonts w:ascii="宋体" w:hAnsi="宋体" w:eastAsia="宋体"/>
          <w:lang w:val="de-DE"/>
        </w:rPr>
      </w:pPr>
      <w:r>
        <w:rPr>
          <w:rFonts w:hint="eastAsia" w:hAnsi="黑体"/>
        </w:rPr>
        <w:t>9.1.5.2.1</w:t>
      </w:r>
      <w:r>
        <w:rPr>
          <w:rFonts w:hint="eastAsia" w:ascii="宋体" w:hAnsi="宋体" w:eastAsia="宋体"/>
        </w:rPr>
        <w:t xml:space="preserve"> </w:t>
      </w:r>
      <w:r>
        <w:rPr>
          <w:rFonts w:hint="eastAsia" w:ascii="宋体" w:hAnsi="宋体" w:eastAsia="宋体"/>
          <w:lang w:val="de-DE"/>
        </w:rPr>
        <w:t>当客户拥有满足以下a)至c)的多个场所时，认证机构可以考虑使用基于抽样的方法进行多场所认证审核：</w:t>
      </w:r>
    </w:p>
    <w:p w14:paraId="60016CC4">
      <w:pPr>
        <w:pStyle w:val="85"/>
        <w:numPr>
          <w:ilvl w:val="0"/>
          <w:numId w:val="33"/>
        </w:numPr>
        <w:rPr>
          <w:rFonts w:hAnsi="宋体"/>
          <w:szCs w:val="21"/>
        </w:rPr>
      </w:pPr>
      <w:r>
        <w:rPr>
          <w:rFonts w:hint="eastAsia" w:hAnsi="宋体"/>
          <w:szCs w:val="21"/>
        </w:rPr>
        <w:t>所有的场所在</w:t>
      </w:r>
      <w:r>
        <w:rPr>
          <w:rFonts w:hint="eastAsia" w:hAnsi="宋体"/>
          <w:szCs w:val="21"/>
          <w:lang w:val="de-DE"/>
        </w:rPr>
        <w:t>同一个ISMS下运行且该ISMS实行集中统一</w:t>
      </w:r>
      <w:r>
        <w:rPr>
          <w:rFonts w:hint="eastAsia" w:hAnsi="宋体"/>
          <w:szCs w:val="21"/>
        </w:rPr>
        <w:t>的管理、审核和管理评审；</w:t>
      </w:r>
    </w:p>
    <w:p w14:paraId="6732821F">
      <w:pPr>
        <w:pStyle w:val="85"/>
        <w:numPr>
          <w:ilvl w:val="0"/>
          <w:numId w:val="33"/>
        </w:numPr>
        <w:rPr>
          <w:rFonts w:hAnsi="宋体"/>
          <w:szCs w:val="21"/>
        </w:rPr>
      </w:pPr>
      <w:r>
        <w:rPr>
          <w:rFonts w:hint="eastAsia" w:hAnsi="宋体"/>
          <w:szCs w:val="21"/>
        </w:rPr>
        <w:t>所有的场所都包含在客</w:t>
      </w:r>
      <w:r>
        <w:rPr>
          <w:rFonts w:hint="eastAsia" w:hAnsi="宋体"/>
          <w:szCs w:val="21"/>
          <w:lang w:val="de-DE"/>
        </w:rPr>
        <w:t>户的ISMS内部</w:t>
      </w:r>
      <w:r>
        <w:rPr>
          <w:rFonts w:hint="eastAsia" w:hAnsi="宋体"/>
          <w:szCs w:val="21"/>
        </w:rPr>
        <w:t>审核方案中；</w:t>
      </w:r>
    </w:p>
    <w:p w14:paraId="18D8CE36">
      <w:pPr>
        <w:pStyle w:val="85"/>
        <w:numPr>
          <w:ilvl w:val="0"/>
          <w:numId w:val="33"/>
        </w:numPr>
        <w:rPr>
          <w:rFonts w:hAnsi="宋体"/>
          <w:szCs w:val="21"/>
        </w:rPr>
      </w:pPr>
      <w:r>
        <w:rPr>
          <w:rFonts w:hint="eastAsia" w:hAnsi="宋体"/>
          <w:szCs w:val="21"/>
        </w:rPr>
        <w:t>所有的场所都包含在客</w:t>
      </w:r>
      <w:r>
        <w:rPr>
          <w:rFonts w:hint="eastAsia" w:hAnsi="宋体"/>
          <w:szCs w:val="21"/>
          <w:lang w:val="de-DE"/>
        </w:rPr>
        <w:t>户的ISMS管理评</w:t>
      </w:r>
      <w:r>
        <w:rPr>
          <w:rFonts w:hint="eastAsia" w:hAnsi="宋体"/>
          <w:szCs w:val="21"/>
        </w:rPr>
        <w:t>审方案中。</w:t>
      </w:r>
    </w:p>
    <w:p w14:paraId="1ECB7BCD">
      <w:pPr>
        <w:pStyle w:val="75"/>
        <w:numPr>
          <w:ilvl w:val="0"/>
          <w:numId w:val="0"/>
        </w:numPr>
        <w:spacing w:before="156" w:after="156"/>
        <w:rPr>
          <w:rFonts w:ascii="宋体" w:hAnsi="宋体" w:eastAsia="宋体"/>
          <w:lang w:val="de-DE"/>
        </w:rPr>
      </w:pPr>
      <w:r>
        <w:rPr>
          <w:rFonts w:hint="eastAsia" w:hAnsi="黑体"/>
        </w:rPr>
        <w:t>9.1.5.</w:t>
      </w:r>
      <w:r>
        <w:rPr>
          <w:rFonts w:hint="eastAsia" w:hAnsi="黑体"/>
          <w:lang w:val="en-US" w:eastAsia="zh-CN"/>
        </w:rPr>
        <w:t>2</w:t>
      </w:r>
      <w:r>
        <w:rPr>
          <w:rFonts w:hint="eastAsia" w:hAnsi="黑体"/>
        </w:rPr>
        <w:t>.2</w:t>
      </w:r>
      <w:r>
        <w:rPr>
          <w:rFonts w:hint="eastAsia" w:ascii="宋体" w:hAnsi="宋体" w:eastAsia="宋体"/>
          <w:lang w:val="de-DE"/>
        </w:rPr>
        <w:t xml:space="preserve"> 认证机构</w:t>
      </w:r>
      <w:r>
        <w:rPr>
          <w:rFonts w:hint="eastAsia" w:ascii="宋体" w:hAnsi="宋体" w:eastAsia="宋体"/>
          <w:lang w:val="en-US" w:eastAsia="zh-CN"/>
        </w:rPr>
        <w:t>在</w:t>
      </w:r>
      <w:r>
        <w:rPr>
          <w:rFonts w:hint="eastAsia" w:ascii="宋体" w:hAnsi="宋体" w:eastAsia="宋体"/>
          <w:lang w:val="de-DE"/>
        </w:rPr>
        <w:t>使用基于抽样的方法时应有程序</w:t>
      </w:r>
      <w:r>
        <w:rPr>
          <w:rFonts w:hint="eastAsia" w:ascii="宋体" w:hAnsi="宋体" w:eastAsia="宋体"/>
          <w:lang w:val="en-US" w:eastAsia="zh-CN"/>
        </w:rPr>
        <w:t>来</w:t>
      </w:r>
      <w:r>
        <w:rPr>
          <w:rFonts w:hint="eastAsia" w:ascii="宋体" w:hAnsi="宋体" w:eastAsia="宋体"/>
          <w:lang w:val="de-DE"/>
        </w:rPr>
        <w:t>确保：</w:t>
      </w:r>
    </w:p>
    <w:p w14:paraId="59922370">
      <w:pPr>
        <w:pStyle w:val="85"/>
        <w:numPr>
          <w:ilvl w:val="0"/>
          <w:numId w:val="34"/>
        </w:numPr>
        <w:rPr>
          <w:rFonts w:hAnsi="宋体"/>
          <w:szCs w:val="21"/>
        </w:rPr>
      </w:pPr>
      <w:r>
        <w:rPr>
          <w:rFonts w:hint="eastAsia" w:hAnsi="宋体"/>
          <w:szCs w:val="21"/>
        </w:rPr>
        <w:t>在初次的合同评审时，最大程度地识别场所之间的差异，以便确定适</w:t>
      </w:r>
      <w:r>
        <w:rPr>
          <w:rFonts w:hAnsi="宋体"/>
          <w:szCs w:val="21"/>
        </w:rPr>
        <w:t>当</w:t>
      </w:r>
      <w:r>
        <w:rPr>
          <w:rFonts w:hint="eastAsia" w:hAnsi="宋体"/>
          <w:szCs w:val="21"/>
        </w:rPr>
        <w:t>的抽样水平；</w:t>
      </w:r>
    </w:p>
    <w:p w14:paraId="6687B0D0">
      <w:pPr>
        <w:pStyle w:val="85"/>
        <w:numPr>
          <w:ilvl w:val="0"/>
          <w:numId w:val="34"/>
        </w:numPr>
        <w:rPr>
          <w:rFonts w:hAnsi="宋体"/>
          <w:szCs w:val="21"/>
        </w:rPr>
      </w:pPr>
      <w:r>
        <w:rPr>
          <w:rFonts w:hint="eastAsia" w:hAnsi="宋体"/>
          <w:szCs w:val="21"/>
        </w:rPr>
        <w:t>结合以下因素，认证机构抽取具有代表性的场所：</w:t>
      </w:r>
    </w:p>
    <w:p w14:paraId="7E154D35">
      <w:pPr>
        <w:numPr>
          <w:ilvl w:val="0"/>
          <w:numId w:val="35"/>
        </w:numPr>
        <w:ind w:right="-334" w:rightChars="-159"/>
        <w:rPr>
          <w:rFonts w:ascii="宋体" w:hAnsi="宋体"/>
          <w:szCs w:val="21"/>
          <w:lang w:val="de-DE"/>
        </w:rPr>
      </w:pPr>
      <w:r>
        <w:rPr>
          <w:rFonts w:hint="eastAsia" w:ascii="宋体" w:hAnsi="宋体"/>
          <w:szCs w:val="21"/>
          <w:lang w:val="de-DE"/>
        </w:rPr>
        <w:t>总部（</w:t>
      </w:r>
      <w:r>
        <w:rPr>
          <w:rFonts w:hint="eastAsia" w:ascii="宋体" w:hAnsi="宋体"/>
          <w:szCs w:val="21"/>
          <w:lang w:val="en-US" w:eastAsia="zh-CN"/>
        </w:rPr>
        <w:t>适宜时</w:t>
      </w:r>
      <w:r>
        <w:rPr>
          <w:rFonts w:hint="eastAsia" w:ascii="宋体" w:hAnsi="宋体"/>
          <w:szCs w:val="21"/>
          <w:lang w:val="de-DE"/>
        </w:rPr>
        <w:t>）及</w:t>
      </w:r>
      <w:r>
        <w:rPr>
          <w:rFonts w:hint="eastAsia" w:ascii="宋体" w:hAnsi="宋体"/>
          <w:szCs w:val="21"/>
        </w:rPr>
        <w:t>各</w:t>
      </w:r>
      <w:r>
        <w:rPr>
          <w:rFonts w:hint="eastAsia" w:ascii="宋体" w:hAnsi="宋体"/>
          <w:szCs w:val="21"/>
          <w:lang w:val="de-DE"/>
        </w:rPr>
        <w:t>场所的内部审核结果；</w:t>
      </w:r>
    </w:p>
    <w:p w14:paraId="4DE249CD">
      <w:pPr>
        <w:numPr>
          <w:ilvl w:val="0"/>
          <w:numId w:val="35"/>
        </w:numPr>
        <w:ind w:right="-334" w:rightChars="-159"/>
        <w:rPr>
          <w:rFonts w:ascii="宋体" w:hAnsi="宋体"/>
          <w:szCs w:val="21"/>
          <w:lang w:val="de-DE"/>
        </w:rPr>
      </w:pPr>
      <w:r>
        <w:rPr>
          <w:rFonts w:hint="eastAsia" w:ascii="宋体" w:hAnsi="宋体"/>
          <w:szCs w:val="21"/>
          <w:lang w:val="de-DE"/>
        </w:rPr>
        <w:t>管理评审的结果；</w:t>
      </w:r>
    </w:p>
    <w:p w14:paraId="7967BC8B">
      <w:pPr>
        <w:numPr>
          <w:ilvl w:val="0"/>
          <w:numId w:val="35"/>
        </w:numPr>
        <w:ind w:right="-334" w:rightChars="-159"/>
        <w:rPr>
          <w:rFonts w:ascii="宋体" w:hAnsi="宋体"/>
          <w:szCs w:val="21"/>
          <w:lang w:val="de-DE"/>
        </w:rPr>
      </w:pPr>
      <w:r>
        <w:rPr>
          <w:rFonts w:hint="eastAsia" w:ascii="宋体" w:hAnsi="宋体"/>
          <w:szCs w:val="21"/>
          <w:lang w:val="de-DE"/>
        </w:rPr>
        <w:t>场所规模的差异；</w:t>
      </w:r>
    </w:p>
    <w:p w14:paraId="7236F945">
      <w:pPr>
        <w:numPr>
          <w:ilvl w:val="0"/>
          <w:numId w:val="35"/>
        </w:numPr>
        <w:ind w:right="-334" w:rightChars="-159"/>
        <w:rPr>
          <w:rFonts w:ascii="宋体" w:hAnsi="宋体"/>
          <w:szCs w:val="21"/>
          <w:lang w:val="de-DE"/>
        </w:rPr>
      </w:pPr>
      <w:r>
        <w:rPr>
          <w:rFonts w:hint="eastAsia" w:ascii="宋体" w:hAnsi="宋体"/>
          <w:szCs w:val="21"/>
          <w:lang w:val="de-DE"/>
        </w:rPr>
        <w:t>场所</w:t>
      </w:r>
      <w:r>
        <w:rPr>
          <w:rFonts w:ascii="宋体" w:hAnsi="宋体"/>
          <w:szCs w:val="21"/>
        </w:rPr>
        <w:t>业务</w:t>
      </w:r>
      <w:r>
        <w:rPr>
          <w:rFonts w:hint="eastAsia" w:ascii="宋体" w:hAnsi="宋体"/>
          <w:szCs w:val="21"/>
          <w:lang w:val="en-US" w:eastAsia="zh-CN"/>
        </w:rPr>
        <w:t>范围</w:t>
      </w:r>
      <w:r>
        <w:rPr>
          <w:rFonts w:hint="eastAsia" w:ascii="宋体" w:hAnsi="宋体"/>
          <w:szCs w:val="21"/>
          <w:lang w:val="de-DE"/>
        </w:rPr>
        <w:t>的差异；</w:t>
      </w:r>
    </w:p>
    <w:p w14:paraId="10B58D3B">
      <w:pPr>
        <w:numPr>
          <w:ilvl w:val="0"/>
          <w:numId w:val="35"/>
        </w:numPr>
        <w:ind w:right="-334" w:rightChars="-159"/>
        <w:rPr>
          <w:rFonts w:ascii="宋体" w:hAnsi="宋体"/>
          <w:szCs w:val="21"/>
          <w:lang w:val="de-DE"/>
        </w:rPr>
      </w:pPr>
      <w:r>
        <w:rPr>
          <w:rFonts w:hint="eastAsia" w:ascii="宋体" w:hAnsi="宋体"/>
          <w:szCs w:val="21"/>
          <w:lang w:val="de-DE"/>
        </w:rPr>
        <w:t>不同场所信息系统的复杂程度；</w:t>
      </w:r>
    </w:p>
    <w:p w14:paraId="4BACA94B">
      <w:pPr>
        <w:numPr>
          <w:ilvl w:val="0"/>
          <w:numId w:val="35"/>
        </w:numPr>
        <w:ind w:right="-334" w:rightChars="-159"/>
        <w:rPr>
          <w:rFonts w:ascii="宋体" w:hAnsi="宋体"/>
          <w:szCs w:val="21"/>
          <w:lang w:val="de-DE"/>
        </w:rPr>
      </w:pPr>
      <w:r>
        <w:rPr>
          <w:rFonts w:hint="eastAsia" w:ascii="宋体" w:hAnsi="宋体"/>
          <w:szCs w:val="21"/>
          <w:lang w:val="de-DE"/>
        </w:rPr>
        <w:t>工作实践的差异；</w:t>
      </w:r>
    </w:p>
    <w:p w14:paraId="36DCBB12">
      <w:pPr>
        <w:numPr>
          <w:ilvl w:val="0"/>
          <w:numId w:val="35"/>
        </w:numPr>
        <w:ind w:right="-334" w:rightChars="-159"/>
        <w:rPr>
          <w:rFonts w:ascii="宋体" w:hAnsi="宋体"/>
          <w:szCs w:val="21"/>
          <w:lang w:val="de-DE"/>
        </w:rPr>
      </w:pPr>
      <w:r>
        <w:rPr>
          <w:rFonts w:hint="eastAsia" w:ascii="宋体" w:hAnsi="宋体"/>
          <w:szCs w:val="21"/>
          <w:lang w:val="de-DE"/>
        </w:rPr>
        <w:t>所</w:t>
      </w:r>
      <w:r>
        <w:rPr>
          <w:rFonts w:hint="eastAsia" w:ascii="宋体" w:hAnsi="宋体"/>
          <w:szCs w:val="21"/>
          <w:lang w:val="en-US" w:eastAsia="zh-CN"/>
        </w:rPr>
        <w:t>开展</w:t>
      </w:r>
      <w:r>
        <w:rPr>
          <w:rFonts w:hint="eastAsia" w:ascii="宋体" w:hAnsi="宋体"/>
          <w:szCs w:val="21"/>
          <w:lang w:val="de-DE"/>
        </w:rPr>
        <w:t>活动的差异；</w:t>
      </w:r>
    </w:p>
    <w:p w14:paraId="6D3A394F">
      <w:pPr>
        <w:numPr>
          <w:ilvl w:val="0"/>
          <w:numId w:val="35"/>
        </w:numPr>
        <w:ind w:right="-334" w:rightChars="-159"/>
        <w:rPr>
          <w:rFonts w:ascii="宋体" w:hAnsi="宋体"/>
          <w:szCs w:val="21"/>
          <w:lang w:val="de-DE"/>
        </w:rPr>
      </w:pPr>
      <w:r>
        <w:rPr>
          <w:rFonts w:hint="eastAsia" w:ascii="宋体" w:hAnsi="宋体"/>
          <w:szCs w:val="21"/>
          <w:lang w:val="de-DE"/>
        </w:rPr>
        <w:t>控制的设计与运行的差异；</w:t>
      </w:r>
    </w:p>
    <w:p w14:paraId="25900960">
      <w:pPr>
        <w:numPr>
          <w:ilvl w:val="0"/>
          <w:numId w:val="35"/>
        </w:numPr>
        <w:ind w:right="-334" w:rightChars="-159"/>
        <w:rPr>
          <w:rFonts w:ascii="宋体" w:hAnsi="宋体"/>
          <w:szCs w:val="21"/>
          <w:lang w:val="de-DE"/>
        </w:rPr>
      </w:pPr>
      <w:r>
        <w:rPr>
          <w:rFonts w:hint="eastAsia" w:ascii="宋体" w:hAnsi="宋体"/>
          <w:szCs w:val="21"/>
          <w:lang w:val="de-DE"/>
        </w:rPr>
        <w:t>与关键信息系统或处理敏感信息的信息系统之间的潜在交互；</w:t>
      </w:r>
    </w:p>
    <w:p w14:paraId="5103C030">
      <w:pPr>
        <w:numPr>
          <w:ilvl w:val="0"/>
          <w:numId w:val="35"/>
        </w:numPr>
        <w:ind w:right="-334" w:rightChars="-159"/>
        <w:rPr>
          <w:rFonts w:ascii="宋体" w:hAnsi="宋体"/>
          <w:szCs w:val="21"/>
          <w:lang w:val="de-DE"/>
        </w:rPr>
      </w:pPr>
      <w:r>
        <w:rPr>
          <w:rFonts w:hint="eastAsia" w:ascii="宋体" w:hAnsi="宋体"/>
          <w:szCs w:val="21"/>
          <w:lang w:val="de-DE"/>
        </w:rPr>
        <w:t>任何不同的法律要求；</w:t>
      </w:r>
    </w:p>
    <w:p w14:paraId="3E8B1016">
      <w:pPr>
        <w:numPr>
          <w:ilvl w:val="0"/>
          <w:numId w:val="35"/>
        </w:numPr>
        <w:ind w:right="-334" w:rightChars="-159"/>
        <w:rPr>
          <w:rFonts w:ascii="宋体" w:hAnsi="宋体"/>
          <w:szCs w:val="21"/>
          <w:lang w:val="de-DE"/>
        </w:rPr>
      </w:pPr>
      <w:r>
        <w:rPr>
          <w:rFonts w:hint="eastAsia" w:ascii="宋体" w:hAnsi="宋体"/>
          <w:szCs w:val="21"/>
          <w:lang w:val="de-DE"/>
        </w:rPr>
        <w:t>地域因素和文化因素；</w:t>
      </w:r>
    </w:p>
    <w:p w14:paraId="3E016265">
      <w:pPr>
        <w:numPr>
          <w:ilvl w:val="0"/>
          <w:numId w:val="35"/>
        </w:numPr>
        <w:ind w:right="-334" w:rightChars="-159"/>
        <w:rPr>
          <w:rFonts w:ascii="宋体" w:hAnsi="宋体"/>
          <w:szCs w:val="21"/>
          <w:lang w:val="de-DE"/>
        </w:rPr>
      </w:pPr>
      <w:r>
        <w:rPr>
          <w:rFonts w:hint="eastAsia" w:ascii="宋体" w:hAnsi="宋体"/>
          <w:szCs w:val="21"/>
          <w:lang w:val="de-DE"/>
        </w:rPr>
        <w:t>场所的风险状况；</w:t>
      </w:r>
    </w:p>
    <w:p w14:paraId="7ADCDC72">
      <w:pPr>
        <w:numPr>
          <w:ilvl w:val="0"/>
          <w:numId w:val="35"/>
        </w:numPr>
        <w:ind w:right="-334" w:rightChars="-159"/>
        <w:rPr>
          <w:rFonts w:ascii="宋体" w:hAnsi="宋体"/>
          <w:szCs w:val="21"/>
          <w:lang w:val="de-DE"/>
        </w:rPr>
      </w:pPr>
      <w:r>
        <w:rPr>
          <w:rFonts w:hint="eastAsia" w:ascii="宋体" w:hAnsi="宋体"/>
          <w:szCs w:val="21"/>
          <w:lang w:val="de-DE"/>
        </w:rPr>
        <w:t>特定场所发生的信息安全事件。</w:t>
      </w:r>
    </w:p>
    <w:p w14:paraId="665346B0">
      <w:pPr>
        <w:pStyle w:val="85"/>
        <w:numPr>
          <w:ilvl w:val="0"/>
          <w:numId w:val="34"/>
        </w:numPr>
        <w:rPr>
          <w:rFonts w:hAnsi="宋体"/>
          <w:szCs w:val="21"/>
        </w:rPr>
      </w:pPr>
      <w:r>
        <w:rPr>
          <w:rFonts w:hint="eastAsia" w:hAnsi="宋体"/>
          <w:szCs w:val="21"/>
        </w:rPr>
        <w:t>从客户</w:t>
      </w:r>
      <w:r>
        <w:rPr>
          <w:rFonts w:hint="eastAsia" w:hAnsi="宋体"/>
          <w:szCs w:val="21"/>
          <w:lang w:val="de-DE"/>
        </w:rPr>
        <w:t>ISMS范围内的</w:t>
      </w:r>
      <w:r>
        <w:rPr>
          <w:rFonts w:hint="eastAsia" w:hAnsi="宋体"/>
          <w:szCs w:val="21"/>
        </w:rPr>
        <w:t>所有场所中选择具有代表性的样本，该选择应基于一个可体现上述b)中所列因素的判定，同时也考虑随机因素；</w:t>
      </w:r>
    </w:p>
    <w:p w14:paraId="27C27357">
      <w:pPr>
        <w:pStyle w:val="85"/>
        <w:numPr>
          <w:ilvl w:val="0"/>
          <w:numId w:val="34"/>
        </w:numPr>
        <w:rPr>
          <w:rFonts w:hAnsi="宋体"/>
          <w:szCs w:val="21"/>
        </w:rPr>
      </w:pPr>
      <w:r>
        <w:rPr>
          <w:rFonts w:hint="eastAsia" w:hAnsi="宋体"/>
          <w:szCs w:val="21"/>
        </w:rPr>
        <w:t>在授予认证之前，认证机构审核了</w:t>
      </w:r>
      <w:r>
        <w:rPr>
          <w:rFonts w:hint="eastAsia" w:hAnsi="宋体"/>
          <w:szCs w:val="21"/>
          <w:lang w:val="de-DE"/>
        </w:rPr>
        <w:t>ISMS中每个具有重</w:t>
      </w:r>
      <w:r>
        <w:rPr>
          <w:rFonts w:hint="eastAsia" w:hAnsi="宋体"/>
          <w:szCs w:val="21"/>
        </w:rPr>
        <w:t>大风险的场所；</w:t>
      </w:r>
    </w:p>
    <w:p w14:paraId="7368A223">
      <w:pPr>
        <w:pStyle w:val="85"/>
        <w:numPr>
          <w:ilvl w:val="0"/>
          <w:numId w:val="34"/>
        </w:numPr>
        <w:rPr>
          <w:rFonts w:hAnsi="宋体"/>
          <w:szCs w:val="21"/>
        </w:rPr>
      </w:pPr>
      <w:r>
        <w:rPr>
          <w:rFonts w:hint="eastAsia" w:hAnsi="宋体"/>
          <w:szCs w:val="21"/>
        </w:rPr>
        <w:t>根据上述要求设计审核方案，且审核方案要在三</w:t>
      </w:r>
      <w:r>
        <w:rPr>
          <w:rFonts w:hint="eastAsia" w:hAnsi="宋体"/>
          <w:szCs w:val="21"/>
          <w:lang w:val="de-DE"/>
        </w:rPr>
        <w:t>年内覆盖ISMS认证范围内的代</w:t>
      </w:r>
      <w:r>
        <w:rPr>
          <w:rFonts w:hint="eastAsia" w:hAnsi="宋体"/>
          <w:szCs w:val="21"/>
        </w:rPr>
        <w:t>表性样本；</w:t>
      </w:r>
    </w:p>
    <w:p w14:paraId="79756935">
      <w:pPr>
        <w:pStyle w:val="85"/>
        <w:numPr>
          <w:ilvl w:val="0"/>
          <w:numId w:val="34"/>
        </w:numPr>
        <w:rPr>
          <w:rFonts w:hAnsi="宋体"/>
          <w:szCs w:val="21"/>
        </w:rPr>
      </w:pPr>
      <w:r>
        <w:rPr>
          <w:rFonts w:hint="eastAsia" w:hAnsi="宋体"/>
          <w:szCs w:val="21"/>
        </w:rPr>
        <w:t>在单个场所发现不符合时，纠正措施程序的实施适用于证书所覆盖的所有场所。</w:t>
      </w:r>
    </w:p>
    <w:p w14:paraId="6699747C">
      <w:pPr>
        <w:ind w:firstLine="420" w:firstLineChars="200"/>
        <w:jc w:val="left"/>
        <w:rPr>
          <w:rFonts w:ascii="宋体" w:hAnsi="宋体"/>
          <w:lang w:val="de-DE"/>
        </w:rPr>
      </w:pPr>
      <w:r>
        <w:rPr>
          <w:rFonts w:hint="eastAsia" w:ascii="宋体" w:hAnsi="宋体"/>
          <w:lang w:val="de-DE"/>
        </w:rPr>
        <w:t>审核应关注客户为确保单一的ISMS适用于所有场所并在运行层面实施统一管理所进行的活动。审核应关注上述所有事项。</w:t>
      </w:r>
    </w:p>
    <w:p w14:paraId="5EE90D8B">
      <w:pPr>
        <w:pStyle w:val="70"/>
        <w:numPr>
          <w:ilvl w:val="0"/>
          <w:numId w:val="0"/>
        </w:numPr>
        <w:spacing w:before="156" w:after="156"/>
        <w:rPr>
          <w:rFonts w:hAnsi="黑体"/>
          <w:lang w:val="de-DE"/>
        </w:rPr>
      </w:pPr>
      <w:r>
        <w:rPr>
          <w:rFonts w:hAnsi="黑体"/>
          <w:lang w:val="de-DE"/>
        </w:rPr>
        <w:t>9.1.6</w:t>
      </w:r>
      <w:r>
        <w:rPr>
          <w:rFonts w:hint="eastAsia" w:hAnsi="黑体"/>
          <w:lang w:val="de-DE"/>
        </w:rPr>
        <w:t>　</w:t>
      </w:r>
      <w:r>
        <w:rPr>
          <w:rFonts w:hAnsi="黑体"/>
        </w:rPr>
        <w:t>多管理体系</w:t>
      </w:r>
      <w:r>
        <w:rPr>
          <w:rFonts w:hint="eastAsia" w:hAnsi="黑体"/>
        </w:rPr>
        <w:t>标准</w:t>
      </w:r>
    </w:p>
    <w:p w14:paraId="014FF481">
      <w:pPr>
        <w:pStyle w:val="70"/>
        <w:numPr>
          <w:ilvl w:val="0"/>
          <w:numId w:val="0"/>
        </w:numPr>
        <w:spacing w:before="156" w:after="156"/>
        <w:rPr>
          <w:rFonts w:hAnsi="黑体"/>
          <w:lang w:val="de-DE"/>
        </w:rPr>
      </w:pPr>
      <w:r>
        <w:rPr>
          <w:rFonts w:hint="eastAsia" w:hAnsi="黑体"/>
          <w:lang w:val="de-DE"/>
        </w:rPr>
        <w:t>9.1.6.1</w:t>
      </w:r>
      <w:r>
        <w:rPr>
          <w:rFonts w:hint="eastAsia" w:hAnsi="黑体"/>
          <w:lang w:val="en-US" w:eastAsia="zh-CN"/>
        </w:rPr>
        <w:t xml:space="preserve"> </w:t>
      </w:r>
      <w:r>
        <w:rPr>
          <w:rFonts w:hint="eastAsia" w:hAnsi="黑体"/>
          <w:lang w:val="de-DE"/>
        </w:rPr>
        <w:t xml:space="preserve"> 总则</w:t>
      </w:r>
    </w:p>
    <w:p w14:paraId="738C7F6B">
      <w:pPr>
        <w:ind w:firstLine="420" w:firstLineChars="200"/>
        <w:jc w:val="left"/>
        <w:rPr>
          <w:rFonts w:ascii="宋体" w:hAnsi="宋体"/>
          <w:szCs w:val="21"/>
          <w:lang w:val="de-DE"/>
        </w:rPr>
      </w:pPr>
      <w:r>
        <w:rPr>
          <w:rFonts w:hint="eastAsia" w:ascii="宋体" w:hAnsi="宋体"/>
          <w:kern w:val="0"/>
          <w:szCs w:val="21"/>
          <w:lang w:val="de-DE"/>
        </w:rPr>
        <w:t>GB/T 27021.1</w:t>
      </w:r>
      <w:r>
        <w:rPr>
          <w:rFonts w:hint="eastAsia"/>
          <w:lang w:val="de-DE"/>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中9.1.6的要求适用。并且，</w:t>
      </w:r>
      <w:r>
        <w:rPr>
          <w:rFonts w:hint="eastAsia" w:ascii="宋体" w:hAnsi="宋体"/>
          <w:kern w:val="0"/>
          <w:szCs w:val="21"/>
        </w:rPr>
        <w:t>9.1.6.2和9.1.6.3的</w:t>
      </w:r>
      <w:r>
        <w:rPr>
          <w:rFonts w:hint="eastAsia" w:ascii="宋体" w:hAnsi="宋体"/>
          <w:kern w:val="0"/>
          <w:szCs w:val="21"/>
          <w:lang w:val="de-DE"/>
        </w:rPr>
        <w:t>要求和指南适用</w:t>
      </w:r>
      <w:r>
        <w:rPr>
          <w:rFonts w:hint="eastAsia" w:ascii="宋体" w:hAnsi="宋体"/>
          <w:szCs w:val="21"/>
        </w:rPr>
        <w:t>。</w:t>
      </w:r>
    </w:p>
    <w:p w14:paraId="1C020507">
      <w:pPr>
        <w:pStyle w:val="70"/>
        <w:numPr>
          <w:ilvl w:val="0"/>
          <w:numId w:val="0"/>
        </w:numPr>
        <w:spacing w:before="156" w:after="156"/>
        <w:rPr>
          <w:rFonts w:hAnsi="黑体"/>
          <w:lang w:val="de-DE"/>
        </w:rPr>
      </w:pPr>
      <w:r>
        <w:rPr>
          <w:rFonts w:hint="eastAsia" w:hAnsi="黑体"/>
          <w:lang w:val="de-DE"/>
        </w:rPr>
        <w:t>9.1.6.2</w:t>
      </w:r>
      <w:r>
        <w:rPr>
          <w:rFonts w:hint="eastAsia" w:hAnsi="黑体"/>
          <w:lang w:val="en-US" w:eastAsia="zh-CN"/>
        </w:rPr>
        <w:t xml:space="preserve"> </w:t>
      </w:r>
      <w:r>
        <w:rPr>
          <w:rFonts w:hint="eastAsia" w:hAnsi="黑体"/>
          <w:lang w:val="de-DE"/>
        </w:rPr>
        <w:t xml:space="preserve"> ISMS</w:t>
      </w:r>
      <w:r>
        <w:rPr>
          <w:rFonts w:hAnsi="黑体"/>
        </w:rPr>
        <w:t>文件与</w:t>
      </w:r>
      <w:r>
        <w:rPr>
          <w:rFonts w:hint="eastAsia" w:hAnsi="黑体"/>
        </w:rPr>
        <w:t>其他管理体系文件的整合</w:t>
      </w:r>
    </w:p>
    <w:p w14:paraId="1085DA22">
      <w:pPr>
        <w:ind w:firstLine="420" w:firstLineChars="200"/>
        <w:jc w:val="left"/>
        <w:rPr>
          <w:rFonts w:ascii="宋体" w:hAnsi="宋体"/>
          <w:lang w:val="de-DE"/>
        </w:rPr>
      </w:pPr>
      <w:r>
        <w:rPr>
          <w:rFonts w:hint="eastAsia" w:ascii="宋体" w:hAnsi="宋体"/>
          <w:lang w:val="de-DE"/>
        </w:rPr>
        <w:t>只要能够清楚地识别ISMS以及ISMS与其他管理体系的适当接口，认证机构可以接受多个管理体系（例如，信息安全、质量、健康与安全、环境）</w:t>
      </w:r>
      <w:r>
        <w:rPr>
          <w:rFonts w:hint="eastAsia" w:ascii="宋体" w:hAnsi="宋体"/>
        </w:rPr>
        <w:t>文件组合在一起</w:t>
      </w:r>
      <w:r>
        <w:rPr>
          <w:rFonts w:hint="eastAsia" w:ascii="宋体" w:hAnsi="宋体"/>
          <w:lang w:val="de-DE"/>
        </w:rPr>
        <w:t>的文件。</w:t>
      </w:r>
    </w:p>
    <w:p w14:paraId="1A611D02">
      <w:pPr>
        <w:pStyle w:val="70"/>
        <w:numPr>
          <w:ilvl w:val="0"/>
          <w:numId w:val="0"/>
        </w:numPr>
        <w:spacing w:before="156" w:after="156"/>
        <w:rPr>
          <w:rFonts w:hAnsi="黑体"/>
        </w:rPr>
      </w:pPr>
      <w:r>
        <w:rPr>
          <w:rFonts w:hint="eastAsia" w:hAnsi="黑体"/>
        </w:rPr>
        <w:t xml:space="preserve">9.1.6.3 </w:t>
      </w:r>
      <w:r>
        <w:rPr>
          <w:rFonts w:hint="eastAsia" w:hAnsi="黑体"/>
          <w:lang w:val="en-US" w:eastAsia="zh-CN"/>
        </w:rPr>
        <w:t xml:space="preserve"> </w:t>
      </w:r>
      <w:r>
        <w:rPr>
          <w:rFonts w:hint="eastAsia" w:hAnsi="黑体"/>
        </w:rPr>
        <w:t>管理体系结合审核</w:t>
      </w:r>
    </w:p>
    <w:p w14:paraId="727E57EA">
      <w:pPr>
        <w:ind w:firstLine="420" w:firstLineChars="200"/>
        <w:rPr>
          <w:rFonts w:ascii="宋体" w:hAnsi="宋体"/>
        </w:rPr>
      </w:pPr>
      <w:r>
        <w:rPr>
          <w:rFonts w:hint="eastAsia" w:ascii="宋体" w:hAnsi="宋体"/>
        </w:rPr>
        <w:t>如果</w:t>
      </w:r>
      <w:r>
        <w:rPr>
          <w:rFonts w:hint="eastAsia" w:ascii="宋体" w:hAnsi="宋体"/>
          <w:lang w:val="de-DE"/>
        </w:rPr>
        <w:t>能证实审核满足了ISMS认证的所有要求，ISMS审核可以和其他管理体系审核相结合。在审核报告中，</w:t>
      </w:r>
      <w:r>
        <w:rPr>
          <w:rFonts w:hint="eastAsia" w:ascii="宋体" w:hAnsi="宋体"/>
        </w:rPr>
        <w:t>ISMS的</w:t>
      </w:r>
      <w:r>
        <w:rPr>
          <w:rFonts w:hint="eastAsia" w:ascii="宋体" w:hAnsi="宋体"/>
          <w:lang w:val="de-DE"/>
        </w:rPr>
        <w:t>所有重要要素应清晰地体现并易于识别。审核的质量不应因结合审核而受到负面影响。</w:t>
      </w:r>
    </w:p>
    <w:p w14:paraId="25BE9628">
      <w:pPr>
        <w:pStyle w:val="66"/>
        <w:numPr>
          <w:ilvl w:val="2"/>
          <w:numId w:val="19"/>
        </w:numPr>
        <w:spacing w:before="156" w:after="156"/>
        <w:rPr>
          <w:rFonts w:hAnsi="黑体"/>
        </w:rPr>
      </w:pPr>
      <w:bookmarkStart w:id="267" w:name="_Toc15210"/>
      <w:bookmarkStart w:id="268" w:name="_Toc7542"/>
      <w:bookmarkStart w:id="269" w:name="_Toc434010470"/>
      <w:bookmarkStart w:id="270" w:name="_Toc496168576"/>
      <w:r>
        <w:rPr>
          <w:rFonts w:hint="eastAsia" w:hAnsi="黑体"/>
        </w:rPr>
        <w:t>策划审核</w:t>
      </w:r>
      <w:bookmarkEnd w:id="267"/>
      <w:bookmarkEnd w:id="268"/>
      <w:bookmarkEnd w:id="269"/>
      <w:bookmarkEnd w:id="270"/>
    </w:p>
    <w:p w14:paraId="4018ED73">
      <w:pPr>
        <w:pStyle w:val="70"/>
        <w:numPr>
          <w:ilvl w:val="0"/>
          <w:numId w:val="0"/>
        </w:numPr>
        <w:spacing w:before="156" w:after="156"/>
        <w:rPr>
          <w:rFonts w:hAnsi="黑体"/>
        </w:rPr>
      </w:pPr>
      <w:r>
        <w:rPr>
          <w:rFonts w:hAnsi="黑体"/>
        </w:rPr>
        <w:t>9.2.1</w:t>
      </w:r>
      <w:r>
        <w:rPr>
          <w:rFonts w:hint="eastAsia" w:hAnsi="黑体"/>
          <w:lang w:val="en-US" w:eastAsia="zh-CN"/>
        </w:rPr>
        <w:t xml:space="preserve"> </w:t>
      </w:r>
      <w:r>
        <w:rPr>
          <w:rFonts w:hint="eastAsia" w:hAnsi="黑体"/>
        </w:rPr>
        <w:t xml:space="preserve"> 确定审核目的、范围和准则</w:t>
      </w:r>
    </w:p>
    <w:p w14:paraId="2FB2ACCC">
      <w:pPr>
        <w:pStyle w:val="70"/>
        <w:numPr>
          <w:ilvl w:val="0"/>
          <w:numId w:val="0"/>
        </w:numPr>
        <w:spacing w:before="156" w:after="156"/>
        <w:rPr>
          <w:rFonts w:hAnsi="黑体"/>
        </w:rPr>
      </w:pPr>
      <w:r>
        <w:rPr>
          <w:rFonts w:hint="eastAsia" w:hAnsi="黑体"/>
        </w:rPr>
        <w:t xml:space="preserve">9.2.1.1 </w:t>
      </w:r>
      <w:r>
        <w:rPr>
          <w:rFonts w:hint="eastAsia" w:hAnsi="黑体"/>
          <w:lang w:val="en-US" w:eastAsia="zh-CN"/>
        </w:rPr>
        <w:t xml:space="preserve"> </w:t>
      </w:r>
      <w:r>
        <w:rPr>
          <w:rFonts w:hint="eastAsia" w:hAnsi="黑体"/>
        </w:rPr>
        <w:t>总则</w:t>
      </w:r>
    </w:p>
    <w:p w14:paraId="31B46C33">
      <w:pPr>
        <w:ind w:firstLine="420" w:firstLineChars="200"/>
        <w:jc w:val="left"/>
        <w:rPr>
          <w:rFonts w:ascii="宋体" w:hAnsi="宋体"/>
          <w:szCs w:val="21"/>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中9.2.1的要求适用。并且，</w:t>
      </w:r>
      <w:r>
        <w:rPr>
          <w:rFonts w:hint="eastAsia" w:ascii="宋体" w:hAnsi="宋体"/>
          <w:kern w:val="0"/>
          <w:szCs w:val="21"/>
        </w:rPr>
        <w:t>9.2.1.2和9.2.1.3</w:t>
      </w:r>
      <w:r>
        <w:rPr>
          <w:rFonts w:hint="eastAsia" w:ascii="宋体" w:hAnsi="宋体"/>
          <w:kern w:val="0"/>
          <w:szCs w:val="21"/>
          <w:lang w:val="de-DE"/>
        </w:rPr>
        <w:t>的要求和指南适用</w:t>
      </w:r>
      <w:r>
        <w:rPr>
          <w:rFonts w:hint="eastAsia" w:ascii="宋体" w:hAnsi="宋体"/>
          <w:szCs w:val="21"/>
        </w:rPr>
        <w:t>。</w:t>
      </w:r>
    </w:p>
    <w:p w14:paraId="679FF71D">
      <w:pPr>
        <w:pStyle w:val="70"/>
        <w:numPr>
          <w:ilvl w:val="0"/>
          <w:numId w:val="0"/>
        </w:numPr>
        <w:spacing w:before="156" w:after="156"/>
        <w:rPr>
          <w:rFonts w:hAnsi="黑体"/>
        </w:rPr>
      </w:pPr>
      <w:r>
        <w:rPr>
          <w:rFonts w:hint="eastAsia" w:hAnsi="黑体"/>
        </w:rPr>
        <w:t xml:space="preserve">9.2.1.2 </w:t>
      </w:r>
      <w:r>
        <w:rPr>
          <w:rFonts w:hint="eastAsia" w:hAnsi="黑体"/>
          <w:lang w:val="en-US" w:eastAsia="zh-CN"/>
        </w:rPr>
        <w:t xml:space="preserve"> </w:t>
      </w:r>
      <w:r>
        <w:rPr>
          <w:rFonts w:hint="eastAsia" w:hAnsi="黑体"/>
        </w:rPr>
        <w:t>审核目的</w:t>
      </w:r>
    </w:p>
    <w:p w14:paraId="1A5A7B34">
      <w:pPr>
        <w:ind w:firstLine="420" w:firstLineChars="200"/>
        <w:jc w:val="left"/>
        <w:rPr>
          <w:rFonts w:hint="eastAsia" w:ascii="宋体" w:hAnsi="宋体"/>
          <w:szCs w:val="21"/>
          <w:lang w:eastAsia="zh-CN"/>
        </w:rPr>
      </w:pPr>
      <w:r>
        <w:rPr>
          <w:rFonts w:hint="eastAsia" w:ascii="宋体" w:hAnsi="宋体"/>
          <w:szCs w:val="21"/>
        </w:rPr>
        <w:t>审核目的应包括</w:t>
      </w:r>
      <w:r>
        <w:rPr>
          <w:rFonts w:hint="eastAsia" w:ascii="宋体" w:hAnsi="宋体"/>
          <w:szCs w:val="21"/>
          <w:lang w:eastAsia="zh-CN"/>
        </w:rPr>
        <w:t>：</w:t>
      </w:r>
    </w:p>
    <w:p w14:paraId="71544F78">
      <w:pPr>
        <w:pStyle w:val="85"/>
        <w:numPr>
          <w:ilvl w:val="0"/>
          <w:numId w:val="36"/>
        </w:numPr>
        <w:ind w:firstLineChars="0"/>
        <w:jc w:val="left"/>
        <w:rPr>
          <w:rFonts w:hint="eastAsia" w:ascii="宋体" w:hAnsi="宋体"/>
          <w:szCs w:val="21"/>
        </w:rPr>
      </w:pPr>
      <w:r>
        <w:rPr>
          <w:rFonts w:hint="eastAsia" w:ascii="宋体" w:hAnsi="宋体"/>
          <w:szCs w:val="21"/>
        </w:rPr>
        <w:t>确定管理体系的有效性</w:t>
      </w:r>
      <w:r>
        <w:rPr>
          <w:rFonts w:hint="eastAsia" w:hAnsi="宋体"/>
          <w:szCs w:val="21"/>
          <w:lang w:eastAsia="zh-CN"/>
        </w:rPr>
        <w:t>；</w:t>
      </w:r>
    </w:p>
    <w:p w14:paraId="6213CB82">
      <w:pPr>
        <w:pStyle w:val="85"/>
        <w:numPr>
          <w:ilvl w:val="0"/>
          <w:numId w:val="36"/>
        </w:numPr>
        <w:ind w:firstLineChars="0"/>
        <w:jc w:val="left"/>
        <w:rPr>
          <w:rFonts w:hint="eastAsia" w:ascii="宋体" w:hAnsi="宋体"/>
          <w:szCs w:val="21"/>
        </w:rPr>
      </w:pPr>
      <w:r>
        <w:rPr>
          <w:rFonts w:hint="eastAsia" w:ascii="宋体" w:hAnsi="宋体"/>
          <w:szCs w:val="21"/>
        </w:rPr>
        <w:t>确保客户根据风险评估</w:t>
      </w:r>
      <w:r>
        <w:rPr>
          <w:rFonts w:hint="eastAsia" w:hAnsi="宋体"/>
          <w:szCs w:val="21"/>
          <w:lang w:val="en-US" w:eastAsia="zh-CN"/>
        </w:rPr>
        <w:t>识别</w:t>
      </w:r>
      <w:r>
        <w:rPr>
          <w:rFonts w:hint="eastAsia" w:ascii="宋体" w:hAnsi="宋体"/>
          <w:szCs w:val="21"/>
        </w:rPr>
        <w:t>了</w:t>
      </w:r>
      <w:r>
        <w:rPr>
          <w:rFonts w:hint="eastAsia" w:hAnsi="宋体"/>
          <w:szCs w:val="21"/>
          <w:lang w:val="en-US" w:eastAsia="zh-CN"/>
        </w:rPr>
        <w:t>必要</w:t>
      </w:r>
      <w:r>
        <w:rPr>
          <w:rFonts w:hint="eastAsia" w:ascii="宋体" w:hAnsi="宋体"/>
          <w:szCs w:val="21"/>
        </w:rPr>
        <w:t>控制</w:t>
      </w:r>
      <w:r>
        <w:rPr>
          <w:rFonts w:hint="eastAsia" w:hAnsi="宋体"/>
          <w:szCs w:val="21"/>
          <w:lang w:eastAsia="zh-CN"/>
        </w:rPr>
        <w:t>；</w:t>
      </w:r>
    </w:p>
    <w:p w14:paraId="645EE432">
      <w:pPr>
        <w:pStyle w:val="85"/>
        <w:numPr>
          <w:ilvl w:val="0"/>
          <w:numId w:val="36"/>
        </w:numPr>
        <w:ind w:firstLineChars="0"/>
        <w:jc w:val="left"/>
        <w:rPr>
          <w:rFonts w:hint="eastAsia" w:ascii="宋体" w:hAnsi="宋体"/>
          <w:szCs w:val="21"/>
        </w:rPr>
      </w:pPr>
      <w:r>
        <w:rPr>
          <w:rFonts w:hint="eastAsia" w:hAnsi="宋体"/>
          <w:szCs w:val="21"/>
          <w:lang w:val="en-US" w:eastAsia="zh-CN"/>
        </w:rPr>
        <w:t>确定</w:t>
      </w:r>
      <w:r>
        <w:rPr>
          <w:rFonts w:hint="eastAsia" w:ascii="宋体" w:hAnsi="宋体"/>
          <w:szCs w:val="21"/>
        </w:rPr>
        <w:t>实现了</w:t>
      </w:r>
      <w:r>
        <w:rPr>
          <w:rFonts w:hint="eastAsia" w:hAnsi="宋体"/>
          <w:szCs w:val="21"/>
          <w:lang w:val="en-US" w:eastAsia="zh-CN"/>
        </w:rPr>
        <w:t>客户</w:t>
      </w:r>
      <w:r>
        <w:rPr>
          <w:rFonts w:hint="eastAsia" w:ascii="宋体" w:hAnsi="宋体"/>
          <w:szCs w:val="21"/>
        </w:rPr>
        <w:t>所</w:t>
      </w:r>
      <w:r>
        <w:rPr>
          <w:rFonts w:hint="eastAsia" w:hAnsi="宋体"/>
          <w:szCs w:val="21"/>
          <w:lang w:val="en-US" w:eastAsia="zh-CN"/>
        </w:rPr>
        <w:t>建立</w:t>
      </w:r>
      <w:r>
        <w:rPr>
          <w:rFonts w:hint="eastAsia" w:ascii="宋体" w:hAnsi="宋体"/>
          <w:szCs w:val="21"/>
        </w:rPr>
        <w:t>的信息安全目标。</w:t>
      </w:r>
    </w:p>
    <w:p w14:paraId="4C56AFCC">
      <w:pPr>
        <w:pStyle w:val="70"/>
        <w:numPr>
          <w:ilvl w:val="0"/>
          <w:numId w:val="0"/>
        </w:numPr>
        <w:spacing w:before="156" w:after="156"/>
        <w:rPr>
          <w:rFonts w:hAnsi="黑体"/>
        </w:rPr>
      </w:pPr>
      <w:r>
        <w:rPr>
          <w:rFonts w:hint="eastAsia" w:hAnsi="黑体"/>
        </w:rPr>
        <w:t>9.2.1.3</w:t>
      </w:r>
      <w:r>
        <w:rPr>
          <w:rFonts w:hint="eastAsia" w:hAnsi="黑体"/>
          <w:lang w:val="en-US" w:eastAsia="zh-CN"/>
        </w:rPr>
        <w:t xml:space="preserve"> </w:t>
      </w:r>
      <w:r>
        <w:rPr>
          <w:rFonts w:hint="eastAsia" w:hAnsi="黑体"/>
        </w:rPr>
        <w:t xml:space="preserve"> 审核准则</w:t>
      </w:r>
    </w:p>
    <w:p w14:paraId="19C4820D">
      <w:pPr>
        <w:ind w:firstLine="420" w:firstLineChars="200"/>
        <w:jc w:val="left"/>
        <w:rPr>
          <w:rFonts w:ascii="宋体" w:hAnsi="宋体"/>
          <w:szCs w:val="21"/>
        </w:rPr>
      </w:pPr>
      <w:r>
        <w:rPr>
          <w:rFonts w:hint="eastAsia" w:ascii="宋体" w:hAnsi="宋体"/>
          <w:szCs w:val="21"/>
        </w:rPr>
        <w:t>审核</w:t>
      </w:r>
      <w:r>
        <w:rPr>
          <w:rFonts w:ascii="宋体" w:hAnsi="宋体"/>
          <w:szCs w:val="21"/>
        </w:rPr>
        <w:t>客户ISMS的准则应</w:t>
      </w:r>
      <w:r>
        <w:rPr>
          <w:rFonts w:hint="eastAsia" w:ascii="宋体" w:hAnsi="宋体"/>
          <w:szCs w:val="21"/>
        </w:rPr>
        <w:t>包括</w:t>
      </w:r>
      <w:r>
        <w:rPr>
          <w:rFonts w:ascii="宋体" w:hAnsi="宋体"/>
          <w:szCs w:val="21"/>
        </w:rPr>
        <w:t>GB/T 22080</w:t>
      </w:r>
      <w:r>
        <w:rPr>
          <w:rFonts w:hint="eastAsia" w:ascii="宋体" w:hAnsi="宋体"/>
          <w:szCs w:val="21"/>
        </w:rPr>
        <w:t>—202X</w:t>
      </w:r>
      <w:r>
        <w:rPr>
          <w:rFonts w:ascii="宋体" w:hAnsi="宋体"/>
          <w:szCs w:val="21"/>
        </w:rPr>
        <w:t>。</w:t>
      </w:r>
    </w:p>
    <w:p w14:paraId="3EBF1B22">
      <w:pPr>
        <w:pStyle w:val="70"/>
        <w:numPr>
          <w:ilvl w:val="0"/>
          <w:numId w:val="0"/>
        </w:numPr>
        <w:spacing w:before="156" w:after="156"/>
        <w:rPr>
          <w:rFonts w:hAnsi="黑体"/>
        </w:rPr>
      </w:pPr>
      <w:r>
        <w:rPr>
          <w:rFonts w:hAnsi="黑体"/>
        </w:rPr>
        <w:t>9.2.2</w:t>
      </w:r>
      <w:r>
        <w:rPr>
          <w:rFonts w:hint="eastAsia" w:hAnsi="黑体"/>
        </w:rPr>
        <w:t>　选择和指派审核组</w:t>
      </w:r>
    </w:p>
    <w:p w14:paraId="5D67A869">
      <w:pPr>
        <w:pStyle w:val="70"/>
        <w:numPr>
          <w:ilvl w:val="0"/>
          <w:numId w:val="0"/>
        </w:numPr>
        <w:spacing w:before="156" w:after="156"/>
        <w:rPr>
          <w:rFonts w:hAnsi="黑体"/>
        </w:rPr>
      </w:pPr>
      <w:r>
        <w:rPr>
          <w:rFonts w:hint="eastAsia" w:hAnsi="黑体"/>
        </w:rPr>
        <w:t>9.2.2.1</w:t>
      </w:r>
      <w:r>
        <w:rPr>
          <w:rFonts w:hint="eastAsia" w:hAnsi="黑体"/>
          <w:lang w:val="en-US" w:eastAsia="zh-CN"/>
        </w:rPr>
        <w:t xml:space="preserve"> </w:t>
      </w:r>
      <w:r>
        <w:rPr>
          <w:rFonts w:hint="eastAsia" w:hAnsi="黑体"/>
        </w:rPr>
        <w:t xml:space="preserve"> 总则</w:t>
      </w:r>
    </w:p>
    <w:p w14:paraId="3DD61ACC">
      <w:pPr>
        <w:ind w:firstLine="420" w:firstLineChars="200"/>
        <w:jc w:val="left"/>
        <w:rPr>
          <w:rFonts w:ascii="宋体" w:hAnsi="宋体"/>
          <w:szCs w:val="21"/>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中9.2.2的要求适用。</w:t>
      </w:r>
    </w:p>
    <w:p w14:paraId="5ED4B5A6">
      <w:pPr>
        <w:pStyle w:val="70"/>
        <w:numPr>
          <w:ilvl w:val="0"/>
          <w:numId w:val="0"/>
        </w:numPr>
        <w:spacing w:before="156" w:after="156"/>
        <w:rPr>
          <w:rFonts w:hAnsi="黑体"/>
        </w:rPr>
      </w:pPr>
      <w:r>
        <w:rPr>
          <w:rFonts w:hAnsi="黑体"/>
        </w:rPr>
        <w:t>9.2.3</w:t>
      </w:r>
      <w:r>
        <w:rPr>
          <w:rFonts w:hint="eastAsia" w:hAnsi="黑体"/>
        </w:rPr>
        <w:t>　</w:t>
      </w:r>
      <w:r>
        <w:rPr>
          <w:rFonts w:hAnsi="黑体"/>
        </w:rPr>
        <w:t>审核计划</w:t>
      </w:r>
    </w:p>
    <w:p w14:paraId="23C7E840">
      <w:pPr>
        <w:pStyle w:val="70"/>
        <w:numPr>
          <w:ilvl w:val="0"/>
          <w:numId w:val="0"/>
        </w:numPr>
        <w:spacing w:before="156" w:after="156"/>
        <w:rPr>
          <w:rFonts w:hAnsi="黑体"/>
        </w:rPr>
      </w:pPr>
      <w:r>
        <w:rPr>
          <w:rFonts w:hint="eastAsia" w:hAnsi="黑体"/>
        </w:rPr>
        <w:t xml:space="preserve">9.2.3.1 </w:t>
      </w:r>
      <w:r>
        <w:rPr>
          <w:rFonts w:hint="eastAsia" w:hAnsi="黑体"/>
          <w:lang w:val="en-US" w:eastAsia="zh-CN"/>
        </w:rPr>
        <w:t xml:space="preserve"> </w:t>
      </w:r>
      <w:r>
        <w:rPr>
          <w:rFonts w:hint="eastAsia" w:hAnsi="黑体"/>
        </w:rPr>
        <w:t>总则</w:t>
      </w:r>
    </w:p>
    <w:p w14:paraId="6D013230">
      <w:pPr>
        <w:ind w:firstLine="420" w:firstLineChars="200"/>
        <w:jc w:val="left"/>
        <w:rPr>
          <w:rFonts w:ascii="宋体" w:hAnsi="宋体"/>
          <w:szCs w:val="21"/>
          <w:lang w:val="de-DE"/>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中9.2.1的要求适用。并且，9.2.3.2和9.2.3.3的要求和指南适用</w:t>
      </w:r>
      <w:r>
        <w:rPr>
          <w:rFonts w:hint="eastAsia" w:ascii="宋体" w:hAnsi="宋体"/>
          <w:szCs w:val="21"/>
        </w:rPr>
        <w:t>。</w:t>
      </w:r>
    </w:p>
    <w:p w14:paraId="00FA2A0E">
      <w:pPr>
        <w:pStyle w:val="70"/>
        <w:numPr>
          <w:ilvl w:val="0"/>
          <w:numId w:val="0"/>
        </w:numPr>
        <w:spacing w:before="156" w:after="156"/>
        <w:rPr>
          <w:rFonts w:hAnsi="黑体"/>
        </w:rPr>
      </w:pPr>
      <w:r>
        <w:rPr>
          <w:rFonts w:hint="eastAsia" w:hAnsi="黑体"/>
        </w:rPr>
        <w:t xml:space="preserve">9.2.3.2 </w:t>
      </w:r>
      <w:r>
        <w:rPr>
          <w:rFonts w:hint="eastAsia" w:hAnsi="黑体"/>
          <w:lang w:val="en-US" w:eastAsia="zh-CN"/>
        </w:rPr>
        <w:t xml:space="preserve"> </w:t>
      </w:r>
      <w:r>
        <w:rPr>
          <w:rFonts w:hint="eastAsia" w:hAnsi="黑体"/>
        </w:rPr>
        <w:t>总体考虑</w:t>
      </w:r>
    </w:p>
    <w:p w14:paraId="1DB200E7">
      <w:pPr>
        <w:ind w:firstLine="420" w:firstLineChars="200"/>
        <w:jc w:val="left"/>
        <w:rPr>
          <w:rFonts w:ascii="宋体" w:hAnsi="宋体"/>
          <w:szCs w:val="21"/>
        </w:rPr>
      </w:pPr>
      <w:r>
        <w:rPr>
          <w:rFonts w:hint="eastAsia" w:ascii="宋体" w:hAnsi="宋体"/>
          <w:szCs w:val="21"/>
          <w:lang w:val="de-DE"/>
        </w:rPr>
        <w:t>ISMS</w:t>
      </w:r>
      <w:r>
        <w:rPr>
          <w:rFonts w:hint="eastAsia" w:ascii="宋体" w:hAnsi="宋体"/>
          <w:szCs w:val="21"/>
        </w:rPr>
        <w:t>审核计划应考虑所确定的信息安全控制。</w:t>
      </w:r>
    </w:p>
    <w:p w14:paraId="7259BC47">
      <w:pPr>
        <w:pStyle w:val="36"/>
        <w:ind w:firstLine="360"/>
        <w:rPr>
          <w:rFonts w:hAnsi="宋体"/>
          <w:szCs w:val="21"/>
        </w:rPr>
      </w:pPr>
      <w:r>
        <w:rPr>
          <w:rFonts w:hint="eastAsia" w:ascii="黑体" w:hAnsi="黑体" w:eastAsia="黑体"/>
          <w:sz w:val="18"/>
          <w:szCs w:val="18"/>
          <w:lang w:val="de-DE"/>
        </w:rPr>
        <w:t>注：</w:t>
      </w:r>
      <w:r>
        <w:rPr>
          <w:rFonts w:hint="eastAsia" w:hAnsi="宋体"/>
          <w:sz w:val="18"/>
          <w:szCs w:val="18"/>
        </w:rPr>
        <w:t>良好的实践是认证机构与接受审核的组织</w:t>
      </w:r>
      <w:r>
        <w:rPr>
          <w:rFonts w:hint="eastAsia" w:hAnsi="宋体"/>
          <w:sz w:val="18"/>
          <w:szCs w:val="18"/>
          <w:lang w:val="en-US" w:eastAsia="zh-CN"/>
        </w:rPr>
        <w:t>商定</w:t>
      </w:r>
      <w:r>
        <w:rPr>
          <w:rFonts w:hint="eastAsia" w:hAnsi="宋体"/>
          <w:sz w:val="18"/>
          <w:szCs w:val="18"/>
        </w:rPr>
        <w:t>一个</w:t>
      </w:r>
      <w:r>
        <w:rPr>
          <w:rFonts w:hint="eastAsia" w:hAnsi="宋体"/>
          <w:sz w:val="18"/>
          <w:szCs w:val="18"/>
          <w:lang w:val="en-US" w:eastAsia="zh-CN"/>
        </w:rPr>
        <w:t>能够</w:t>
      </w:r>
      <w:r>
        <w:rPr>
          <w:rFonts w:hint="eastAsia" w:hAnsi="宋体"/>
          <w:sz w:val="18"/>
          <w:szCs w:val="18"/>
        </w:rPr>
        <w:t>最佳地证实</w:t>
      </w:r>
      <w:r>
        <w:rPr>
          <w:rFonts w:hint="eastAsia" w:hAnsi="宋体"/>
          <w:sz w:val="18"/>
          <w:szCs w:val="18"/>
          <w:lang w:val="en-US" w:eastAsia="zh-CN"/>
        </w:rPr>
        <w:t>组织</w:t>
      </w:r>
      <w:r>
        <w:rPr>
          <w:rFonts w:hint="eastAsia" w:hAnsi="宋体"/>
          <w:sz w:val="18"/>
          <w:szCs w:val="18"/>
        </w:rPr>
        <w:t>全部范围的审核时间。适当时，考虑因素包括季度、月份、日期和班次。</w:t>
      </w:r>
    </w:p>
    <w:p w14:paraId="19195518">
      <w:pPr>
        <w:pStyle w:val="70"/>
        <w:numPr>
          <w:ilvl w:val="0"/>
          <w:numId w:val="0"/>
        </w:numPr>
        <w:spacing w:before="156" w:after="156"/>
        <w:rPr>
          <w:rFonts w:hAnsi="黑体"/>
        </w:rPr>
      </w:pPr>
      <w:r>
        <w:rPr>
          <w:rFonts w:hint="eastAsia" w:hAnsi="黑体"/>
        </w:rPr>
        <w:t xml:space="preserve">9.2.3.3 </w:t>
      </w:r>
      <w:r>
        <w:rPr>
          <w:rFonts w:hint="eastAsia" w:hAnsi="黑体"/>
          <w:lang w:val="en-US" w:eastAsia="zh-CN"/>
        </w:rPr>
        <w:t xml:space="preserve"> </w:t>
      </w:r>
      <w:r>
        <w:rPr>
          <w:rFonts w:hint="eastAsia" w:hAnsi="黑体"/>
        </w:rPr>
        <w:t>远程审核技术</w:t>
      </w:r>
    </w:p>
    <w:p w14:paraId="2B33A308">
      <w:pPr>
        <w:widowControl/>
        <w:ind w:firstLine="420" w:firstLineChars="200"/>
        <w:jc w:val="left"/>
        <w:outlineLvl w:val="3"/>
        <w:rPr>
          <w:rFonts w:hint="eastAsia" w:ascii="宋体" w:hAnsi="宋体"/>
          <w:kern w:val="0"/>
          <w:szCs w:val="21"/>
          <w:lang w:val="de-DE"/>
        </w:rPr>
      </w:pPr>
      <w:r>
        <w:rPr>
          <w:rFonts w:hint="eastAsia" w:ascii="宋体" w:hAnsi="宋体"/>
          <w:kern w:val="0"/>
          <w:szCs w:val="21"/>
        </w:rPr>
        <w:t>远程</w:t>
      </w:r>
      <w:r>
        <w:rPr>
          <w:rFonts w:hint="eastAsia" w:ascii="宋体" w:hAnsi="宋体"/>
          <w:kern w:val="0"/>
          <w:szCs w:val="21"/>
          <w:lang w:val="de-DE"/>
        </w:rPr>
        <w:t>审核技术</w:t>
      </w:r>
      <w:r>
        <w:rPr>
          <w:rFonts w:hint="eastAsia" w:ascii="宋体" w:hAnsi="宋体"/>
          <w:kern w:val="0"/>
          <w:szCs w:val="21"/>
        </w:rPr>
        <w:t>的目标</w:t>
      </w:r>
      <w:r>
        <w:rPr>
          <w:rFonts w:hint="eastAsia" w:ascii="宋体" w:hAnsi="宋体"/>
          <w:kern w:val="0"/>
          <w:szCs w:val="21"/>
          <w:lang w:val="de-DE"/>
        </w:rPr>
        <w:t>宜</w:t>
      </w:r>
      <w:r>
        <w:rPr>
          <w:rFonts w:ascii="宋体" w:hAnsi="宋体"/>
          <w:kern w:val="0"/>
          <w:szCs w:val="21"/>
          <w:lang w:val="de-DE"/>
        </w:rPr>
        <w:t>是</w:t>
      </w:r>
      <w:r>
        <w:rPr>
          <w:rFonts w:hint="eastAsia" w:ascii="宋体" w:hAnsi="宋体"/>
          <w:kern w:val="0"/>
          <w:szCs w:val="21"/>
          <w:lang w:val="de-DE"/>
        </w:rPr>
        <w:t>提高审核的有效性和效率，并支持审核过程的完整性。</w:t>
      </w:r>
    </w:p>
    <w:p w14:paraId="3D1A775B">
      <w:pPr>
        <w:widowControl/>
        <w:ind w:firstLine="420" w:firstLineChars="200"/>
        <w:jc w:val="left"/>
        <w:outlineLvl w:val="3"/>
        <w:rPr>
          <w:rFonts w:hint="default" w:ascii="宋体" w:hAnsi="宋体" w:eastAsia="宋体"/>
          <w:kern w:val="0"/>
          <w:szCs w:val="21"/>
          <w:lang w:val="en-US" w:eastAsia="zh-CN"/>
        </w:rPr>
      </w:pPr>
      <w:r>
        <w:rPr>
          <w:rFonts w:hint="eastAsia" w:ascii="宋体" w:hAnsi="宋体"/>
          <w:kern w:val="0"/>
          <w:szCs w:val="21"/>
          <w:lang w:val="en-US" w:eastAsia="zh-CN"/>
        </w:rPr>
        <w:t>审核计划应提及用于协助远程审核的工具。</w:t>
      </w:r>
    </w:p>
    <w:p w14:paraId="55BEF9C3">
      <w:pPr>
        <w:pStyle w:val="66"/>
        <w:numPr>
          <w:ilvl w:val="2"/>
          <w:numId w:val="19"/>
        </w:numPr>
        <w:spacing w:before="156" w:after="156"/>
        <w:rPr>
          <w:rFonts w:hAnsi="黑体"/>
        </w:rPr>
      </w:pPr>
      <w:bookmarkStart w:id="271" w:name="_Toc496168577"/>
      <w:bookmarkStart w:id="272" w:name="_Toc5039"/>
      <w:bookmarkStart w:id="273" w:name="_Toc27771"/>
      <w:bookmarkStart w:id="274" w:name="_Toc434010471"/>
      <w:r>
        <w:rPr>
          <w:rFonts w:hint="eastAsia" w:hAnsi="黑体"/>
        </w:rPr>
        <w:t>初次认证</w:t>
      </w:r>
      <w:bookmarkEnd w:id="271"/>
      <w:bookmarkEnd w:id="272"/>
      <w:bookmarkEnd w:id="273"/>
      <w:bookmarkEnd w:id="274"/>
    </w:p>
    <w:p w14:paraId="449D283C">
      <w:pPr>
        <w:pStyle w:val="70"/>
        <w:numPr>
          <w:ilvl w:val="0"/>
          <w:numId w:val="0"/>
        </w:numPr>
        <w:spacing w:before="156" w:after="156"/>
        <w:rPr>
          <w:rFonts w:hAnsi="黑体"/>
        </w:rPr>
      </w:pPr>
      <w:r>
        <w:rPr>
          <w:rFonts w:hint="eastAsia" w:hAnsi="黑体"/>
        </w:rPr>
        <w:t xml:space="preserve">9.3.1 </w:t>
      </w:r>
      <w:r>
        <w:rPr>
          <w:rFonts w:hint="eastAsia" w:hAnsi="黑体"/>
          <w:lang w:val="en-US" w:eastAsia="zh-CN"/>
        </w:rPr>
        <w:t xml:space="preserve"> </w:t>
      </w:r>
      <w:r>
        <w:rPr>
          <w:rFonts w:hint="eastAsia" w:hAnsi="黑体"/>
        </w:rPr>
        <w:t>总则</w:t>
      </w:r>
    </w:p>
    <w:p w14:paraId="0AAD5924">
      <w:pPr>
        <w:ind w:firstLine="420" w:firstLineChars="200"/>
        <w:jc w:val="left"/>
        <w:rPr>
          <w:rFonts w:ascii="宋体" w:hAnsi="宋体"/>
          <w:szCs w:val="21"/>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中9.3的要求适用。并且，</w:t>
      </w:r>
      <w:r>
        <w:rPr>
          <w:rFonts w:hint="eastAsia" w:ascii="宋体" w:hAnsi="宋体"/>
          <w:kern w:val="0"/>
          <w:szCs w:val="21"/>
        </w:rPr>
        <w:t>9.3.2的</w:t>
      </w:r>
      <w:r>
        <w:rPr>
          <w:rFonts w:hint="eastAsia" w:ascii="宋体" w:hAnsi="宋体"/>
          <w:kern w:val="0"/>
          <w:szCs w:val="21"/>
          <w:lang w:val="de-DE"/>
        </w:rPr>
        <w:t>要求和指南适用</w:t>
      </w:r>
      <w:r>
        <w:rPr>
          <w:rFonts w:hint="eastAsia" w:ascii="宋体" w:hAnsi="宋体"/>
          <w:szCs w:val="21"/>
        </w:rPr>
        <w:t>。</w:t>
      </w:r>
    </w:p>
    <w:p w14:paraId="361A3DC9">
      <w:pPr>
        <w:pStyle w:val="70"/>
        <w:numPr>
          <w:ilvl w:val="0"/>
          <w:numId w:val="0"/>
        </w:numPr>
        <w:spacing w:before="156" w:after="156"/>
        <w:rPr>
          <w:rFonts w:hAnsi="黑体"/>
        </w:rPr>
      </w:pPr>
      <w:r>
        <w:rPr>
          <w:rFonts w:hint="eastAsia" w:hAnsi="黑体"/>
        </w:rPr>
        <w:t xml:space="preserve">9.3.2 </w:t>
      </w:r>
      <w:r>
        <w:rPr>
          <w:rFonts w:hint="eastAsia" w:hAnsi="黑体"/>
          <w:lang w:val="en-US" w:eastAsia="zh-CN"/>
        </w:rPr>
        <w:t xml:space="preserve"> </w:t>
      </w:r>
      <w:r>
        <w:rPr>
          <w:rFonts w:hint="eastAsia" w:hAnsi="黑体"/>
        </w:rPr>
        <w:t>初次认证审核</w:t>
      </w:r>
    </w:p>
    <w:p w14:paraId="1AE57A1F">
      <w:pPr>
        <w:pStyle w:val="70"/>
        <w:numPr>
          <w:ilvl w:val="0"/>
          <w:numId w:val="0"/>
        </w:numPr>
        <w:spacing w:before="156" w:after="156"/>
        <w:rPr>
          <w:rFonts w:hAnsi="黑体"/>
        </w:rPr>
      </w:pPr>
      <w:r>
        <w:rPr>
          <w:rFonts w:hint="eastAsia" w:hAnsi="黑体"/>
        </w:rPr>
        <w:t xml:space="preserve">9.3.2.1 </w:t>
      </w:r>
      <w:r>
        <w:rPr>
          <w:rFonts w:hint="eastAsia" w:hAnsi="黑体"/>
          <w:lang w:val="en-US" w:eastAsia="zh-CN"/>
        </w:rPr>
        <w:t xml:space="preserve"> </w:t>
      </w:r>
      <w:r>
        <w:rPr>
          <w:rFonts w:hint="eastAsia" w:hAnsi="黑体"/>
        </w:rPr>
        <w:t>第一阶段</w:t>
      </w:r>
    </w:p>
    <w:p w14:paraId="07FD70DA">
      <w:pPr>
        <w:ind w:firstLine="420" w:firstLineChars="200"/>
        <w:jc w:val="left"/>
        <w:rPr>
          <w:rFonts w:ascii="宋体" w:hAnsi="宋体"/>
          <w:lang w:val="de-DE"/>
        </w:rPr>
      </w:pPr>
      <w:r>
        <w:rPr>
          <w:rFonts w:hint="eastAsia" w:ascii="宋体" w:hAnsi="宋体"/>
          <w:lang w:val="de-DE"/>
        </w:rPr>
        <w:t>在</w:t>
      </w:r>
      <w:r>
        <w:rPr>
          <w:rFonts w:hint="eastAsia" w:ascii="宋体" w:hAnsi="宋体"/>
          <w:lang w:val="en-US" w:eastAsia="zh-CN"/>
        </w:rPr>
        <w:t>本</w:t>
      </w:r>
      <w:r>
        <w:rPr>
          <w:rFonts w:hint="eastAsia" w:ascii="宋体" w:hAnsi="宋体"/>
          <w:lang w:val="de-DE"/>
        </w:rPr>
        <w:t>阶段，认证机构应获取有关ISMS设计的文件，包括</w:t>
      </w:r>
      <w:r>
        <w:rPr>
          <w:rFonts w:ascii="宋体" w:hAnsi="宋体"/>
          <w:lang w:val="de-DE"/>
        </w:rPr>
        <w:t>GB/T 22080</w:t>
      </w:r>
      <w:r>
        <w:rPr>
          <w:rFonts w:hint="eastAsia" w:ascii="宋体" w:hAnsi="宋体"/>
          <w:lang w:val="de-DE"/>
        </w:rPr>
        <w:t>—202X所要求的文件。</w:t>
      </w:r>
    </w:p>
    <w:p w14:paraId="2A54DCD2">
      <w:pPr>
        <w:ind w:firstLine="420" w:firstLineChars="200"/>
        <w:jc w:val="left"/>
        <w:rPr>
          <w:rFonts w:ascii="宋体" w:hAnsi="宋体"/>
          <w:lang w:val="de-DE"/>
        </w:rPr>
      </w:pPr>
      <w:r>
        <w:rPr>
          <w:rFonts w:hint="eastAsia" w:ascii="宋体" w:hAnsi="宋体"/>
          <w:lang w:val="de-DE"/>
        </w:rPr>
        <w:t>在认证审核的第一阶段，客户应至少提供以下信息：</w:t>
      </w:r>
    </w:p>
    <w:p w14:paraId="3D10CE89">
      <w:pPr>
        <w:pStyle w:val="85"/>
        <w:numPr>
          <w:ilvl w:val="0"/>
          <w:numId w:val="37"/>
        </w:numPr>
        <w:rPr>
          <w:rFonts w:hAnsi="宋体"/>
          <w:szCs w:val="21"/>
        </w:rPr>
      </w:pPr>
      <w:r>
        <w:rPr>
          <w:rFonts w:hint="eastAsia" w:hAnsi="宋体"/>
          <w:szCs w:val="21"/>
          <w:lang w:val="de-DE"/>
        </w:rPr>
        <w:t>ISMS和其所覆盖</w:t>
      </w:r>
      <w:r>
        <w:rPr>
          <w:rFonts w:hint="eastAsia" w:hAnsi="宋体"/>
          <w:szCs w:val="21"/>
        </w:rPr>
        <w:t>活动的一般信息；</w:t>
      </w:r>
    </w:p>
    <w:p w14:paraId="584E26C9">
      <w:pPr>
        <w:pStyle w:val="85"/>
        <w:numPr>
          <w:ilvl w:val="0"/>
          <w:numId w:val="37"/>
        </w:numPr>
        <w:rPr>
          <w:rFonts w:hAnsi="宋体"/>
          <w:szCs w:val="21"/>
        </w:rPr>
      </w:pPr>
      <w:r>
        <w:rPr>
          <w:rFonts w:hAnsi="宋体"/>
          <w:szCs w:val="21"/>
          <w:lang w:val="de-DE"/>
        </w:rPr>
        <w:t>GB/T 22080</w:t>
      </w:r>
      <w:r>
        <w:rPr>
          <w:rFonts w:hint="eastAsia" w:hAnsi="宋体"/>
          <w:szCs w:val="21"/>
          <w:lang w:val="de-DE"/>
        </w:rPr>
        <w:t>—202X</w:t>
      </w:r>
      <w:r>
        <w:rPr>
          <w:rFonts w:hint="eastAsia" w:hAnsi="宋体"/>
          <w:szCs w:val="21"/>
          <w:lang w:val="en-US" w:eastAsia="zh-CN"/>
        </w:rPr>
        <w:t>要求的</w:t>
      </w:r>
      <w:r>
        <w:rPr>
          <w:rFonts w:hint="eastAsia" w:hAnsi="宋体"/>
          <w:szCs w:val="21"/>
          <w:lang w:val="de-DE"/>
        </w:rPr>
        <w:t>ISMS文件的</w:t>
      </w:r>
      <w:r>
        <w:rPr>
          <w:rFonts w:hint="eastAsia" w:hAnsi="宋体"/>
          <w:szCs w:val="21"/>
        </w:rPr>
        <w:t>副本，以及需要时，其他相关文件。</w:t>
      </w:r>
    </w:p>
    <w:p w14:paraId="1AD15AB8">
      <w:pPr>
        <w:ind w:firstLine="420" w:firstLineChars="200"/>
        <w:rPr>
          <w:rFonts w:ascii="宋体" w:hAnsi="宋体"/>
          <w:lang w:val="de-DE"/>
        </w:rPr>
      </w:pPr>
      <w:r>
        <w:rPr>
          <w:rFonts w:hint="eastAsia" w:ascii="宋体" w:hAnsi="宋体"/>
          <w:lang w:val="de-DE"/>
        </w:rPr>
        <w:t>认证机构应</w:t>
      </w:r>
      <w:r>
        <w:rPr>
          <w:rFonts w:hint="eastAsia" w:ascii="宋体" w:hAnsi="宋体"/>
          <w:lang w:val="en-US" w:eastAsia="zh-CN"/>
        </w:rPr>
        <w:t>在客户的</w:t>
      </w:r>
      <w:r>
        <w:rPr>
          <w:rFonts w:hint="eastAsia" w:ascii="宋体" w:hAnsi="宋体"/>
          <w:lang w:val="de-DE"/>
        </w:rPr>
        <w:t>组织</w:t>
      </w:r>
      <w:r>
        <w:rPr>
          <w:rFonts w:hint="eastAsia" w:ascii="宋体" w:hAnsi="宋体"/>
          <w:lang w:val="en-US" w:eastAsia="zh-CN"/>
        </w:rPr>
        <w:t>设置</w:t>
      </w:r>
      <w:r>
        <w:rPr>
          <w:rFonts w:hint="eastAsia" w:ascii="宋体" w:hAnsi="宋体"/>
          <w:lang w:val="de-DE"/>
        </w:rPr>
        <w:t>、风险评估</w:t>
      </w:r>
      <w:r>
        <w:rPr>
          <w:rFonts w:hint="eastAsia" w:ascii="宋体" w:hAnsi="宋体"/>
          <w:lang w:val="en-US" w:eastAsia="zh-CN"/>
        </w:rPr>
        <w:t>与风险</w:t>
      </w:r>
      <w:r>
        <w:rPr>
          <w:rFonts w:hint="eastAsia" w:ascii="宋体" w:hAnsi="宋体"/>
          <w:lang w:val="de-DE"/>
        </w:rPr>
        <w:t>处置（包括所确定的控制）、信息安全方针</w:t>
      </w:r>
      <w:r>
        <w:rPr>
          <w:rFonts w:hint="default" w:ascii="宋体" w:hAnsi="宋体"/>
          <w:lang w:val="en-US"/>
        </w:rPr>
        <w:t>和</w:t>
      </w:r>
      <w:r>
        <w:rPr>
          <w:rFonts w:hint="eastAsia" w:ascii="宋体" w:hAnsi="宋体"/>
          <w:lang w:val="en-US" w:eastAsia="zh-CN"/>
        </w:rPr>
        <w:t>信息安全</w:t>
      </w:r>
      <w:r>
        <w:rPr>
          <w:rFonts w:hint="eastAsia" w:ascii="宋体" w:hAnsi="宋体"/>
          <w:lang w:val="de-DE"/>
        </w:rPr>
        <w:t>目标</w:t>
      </w:r>
      <w:r>
        <w:rPr>
          <w:rFonts w:hint="eastAsia" w:ascii="宋体" w:hAnsi="宋体"/>
          <w:lang w:val="de-DE" w:eastAsia="zh-CN"/>
        </w:rPr>
        <w:t>的</w:t>
      </w:r>
      <w:r>
        <w:rPr>
          <w:rFonts w:hint="eastAsia" w:ascii="宋体" w:hAnsi="宋体"/>
          <w:lang w:val="en-US" w:eastAsia="zh-CN"/>
        </w:rPr>
        <w:t>背景下充分了解</w:t>
      </w:r>
      <w:r>
        <w:rPr>
          <w:rFonts w:hint="eastAsia" w:ascii="宋体" w:hAnsi="宋体"/>
          <w:lang w:val="de-DE"/>
        </w:rPr>
        <w:t>ISMS设计，特别是</w:t>
      </w:r>
      <w:r>
        <w:rPr>
          <w:rFonts w:hint="eastAsia" w:ascii="宋体" w:hAnsi="宋体"/>
          <w:lang w:val="en-US" w:eastAsia="zh-CN"/>
        </w:rPr>
        <w:t>应充分了解</w:t>
      </w:r>
      <w:r>
        <w:rPr>
          <w:rFonts w:hint="eastAsia" w:ascii="宋体" w:hAnsi="宋体"/>
          <w:lang w:val="de-DE"/>
        </w:rPr>
        <w:t>客户的审核准备情况。</w:t>
      </w:r>
      <w:r>
        <w:rPr>
          <w:rFonts w:hint="eastAsia" w:ascii="宋体" w:hAnsi="宋体"/>
        </w:rPr>
        <w:t>所了解的</w:t>
      </w:r>
      <w:r>
        <w:rPr>
          <w:rFonts w:hint="eastAsia" w:ascii="宋体" w:hAnsi="宋体"/>
          <w:lang w:val="en-US" w:eastAsia="zh-CN"/>
        </w:rPr>
        <w:t>信息</w:t>
      </w:r>
      <w:r>
        <w:rPr>
          <w:rFonts w:hint="eastAsia" w:ascii="宋体" w:hAnsi="宋体"/>
        </w:rPr>
        <w:t>应用于策划</w:t>
      </w:r>
      <w:r>
        <w:rPr>
          <w:rFonts w:hint="eastAsia" w:ascii="宋体" w:hAnsi="宋体"/>
          <w:lang w:val="de-DE"/>
        </w:rPr>
        <w:t>第二阶段。</w:t>
      </w:r>
    </w:p>
    <w:p w14:paraId="083C27BC">
      <w:pPr>
        <w:ind w:firstLine="420" w:firstLineChars="200"/>
        <w:jc w:val="left"/>
        <w:rPr>
          <w:rFonts w:ascii="宋体" w:hAnsi="宋体"/>
          <w:lang w:val="de-DE"/>
        </w:rPr>
      </w:pPr>
      <w:r>
        <w:rPr>
          <w:rFonts w:hint="eastAsia" w:ascii="宋体" w:hAnsi="宋体"/>
          <w:lang w:val="de-DE"/>
        </w:rPr>
        <w:t>第一阶段的结果应形成书面报告。在决定进行第二阶段之前，认证机构应</w:t>
      </w:r>
      <w:r>
        <w:rPr>
          <w:rFonts w:hint="eastAsia" w:ascii="宋体" w:hAnsi="宋体"/>
          <w:lang w:val="en-US" w:eastAsia="zh-CN"/>
        </w:rPr>
        <w:t>评审</w:t>
      </w:r>
      <w:r>
        <w:rPr>
          <w:rFonts w:hint="eastAsia" w:ascii="宋体" w:hAnsi="宋体"/>
          <w:lang w:val="de-DE"/>
        </w:rPr>
        <w:t>第一阶段的审核报告，以便为第二阶段选择具备所需能力的审核组成员。如果第一阶段的审核组长具备能力且适宜时，可由其来实施该</w:t>
      </w:r>
      <w:r>
        <w:rPr>
          <w:rFonts w:hint="eastAsia" w:ascii="宋体" w:hAnsi="宋体"/>
          <w:lang w:val="en-US" w:eastAsia="zh-CN"/>
        </w:rPr>
        <w:t>评审</w:t>
      </w:r>
      <w:r>
        <w:rPr>
          <w:rFonts w:hint="eastAsia" w:ascii="宋体" w:hAnsi="宋体"/>
          <w:lang w:val="de-DE"/>
        </w:rPr>
        <w:t>。</w:t>
      </w:r>
    </w:p>
    <w:p w14:paraId="2012164E">
      <w:pPr>
        <w:ind w:firstLine="360" w:firstLineChars="200"/>
        <w:jc w:val="left"/>
        <w:rPr>
          <w:rFonts w:ascii="宋体" w:hAnsi="宋体"/>
          <w:sz w:val="18"/>
          <w:szCs w:val="18"/>
          <w:lang w:val="de-DE"/>
        </w:rPr>
      </w:pPr>
      <w:r>
        <w:rPr>
          <w:rFonts w:hint="eastAsia" w:ascii="黑体" w:hAnsi="黑体" w:eastAsia="黑体"/>
          <w:kern w:val="0"/>
          <w:sz w:val="18"/>
          <w:szCs w:val="18"/>
          <w:lang w:val="de-DE"/>
        </w:rPr>
        <w:t>注：</w:t>
      </w:r>
      <w:r>
        <w:rPr>
          <w:rFonts w:hint="eastAsia" w:ascii="宋体" w:hAnsi="宋体"/>
          <w:sz w:val="18"/>
          <w:szCs w:val="18"/>
        </w:rPr>
        <w:t>由未参与审核的认证机构人员来</w:t>
      </w:r>
      <w:r>
        <w:rPr>
          <w:rFonts w:hint="eastAsia" w:ascii="宋体" w:hAnsi="宋体"/>
          <w:sz w:val="18"/>
          <w:szCs w:val="18"/>
          <w:lang w:val="en-US" w:eastAsia="zh-CN"/>
        </w:rPr>
        <w:t>评审第一阶段</w:t>
      </w:r>
      <w:r>
        <w:rPr>
          <w:rFonts w:hint="eastAsia" w:ascii="宋体" w:hAnsi="宋体"/>
          <w:sz w:val="18"/>
          <w:szCs w:val="18"/>
        </w:rPr>
        <w:t>报告、</w:t>
      </w:r>
      <w:r>
        <w:rPr>
          <w:rFonts w:hint="eastAsia" w:ascii="宋体" w:hAnsi="宋体"/>
          <w:sz w:val="18"/>
          <w:szCs w:val="18"/>
          <w:lang w:val="en-US" w:eastAsia="zh-CN"/>
        </w:rPr>
        <w:t>做出</w:t>
      </w:r>
      <w:r>
        <w:rPr>
          <w:rFonts w:hint="eastAsia" w:ascii="宋体" w:hAnsi="宋体"/>
          <w:sz w:val="18"/>
          <w:szCs w:val="18"/>
          <w:lang w:val="de-DE"/>
        </w:rPr>
        <w:t>实施</w:t>
      </w:r>
      <w:r>
        <w:rPr>
          <w:rFonts w:hint="eastAsia" w:ascii="宋体" w:hAnsi="宋体"/>
          <w:sz w:val="18"/>
          <w:szCs w:val="18"/>
        </w:rPr>
        <w:t>第二阶段</w:t>
      </w:r>
      <w:r>
        <w:rPr>
          <w:rFonts w:hint="eastAsia" w:ascii="宋体" w:hAnsi="宋体"/>
          <w:sz w:val="18"/>
          <w:szCs w:val="18"/>
          <w:lang w:eastAsia="zh-CN"/>
        </w:rPr>
        <w:t>的</w:t>
      </w:r>
      <w:r>
        <w:rPr>
          <w:rFonts w:hint="eastAsia" w:ascii="宋体" w:hAnsi="宋体"/>
          <w:sz w:val="18"/>
          <w:szCs w:val="18"/>
          <w:lang w:val="en-US" w:eastAsia="zh-CN"/>
        </w:rPr>
        <w:t>决定</w:t>
      </w:r>
      <w:r>
        <w:rPr>
          <w:rFonts w:hint="eastAsia" w:ascii="宋体" w:hAnsi="宋体"/>
          <w:sz w:val="18"/>
          <w:szCs w:val="18"/>
        </w:rPr>
        <w:t>和确认实施第二阶段的审核组能力，</w:t>
      </w:r>
      <w:r>
        <w:rPr>
          <w:rFonts w:hint="eastAsia" w:ascii="宋体" w:hAnsi="宋体"/>
          <w:sz w:val="18"/>
          <w:szCs w:val="18"/>
          <w:lang w:val="en-US" w:eastAsia="zh-CN"/>
        </w:rPr>
        <w:t>能</w:t>
      </w:r>
      <w:r>
        <w:rPr>
          <w:rFonts w:hint="eastAsia" w:ascii="宋体" w:hAnsi="宋体"/>
          <w:sz w:val="18"/>
          <w:szCs w:val="18"/>
        </w:rPr>
        <w:t>在一定程度上</w:t>
      </w:r>
      <w:r>
        <w:rPr>
          <w:rFonts w:hint="eastAsia" w:ascii="宋体" w:hAnsi="宋体"/>
          <w:sz w:val="18"/>
          <w:szCs w:val="18"/>
          <w:lang w:val="de-DE"/>
        </w:rPr>
        <w:t>降低</w:t>
      </w:r>
      <w:r>
        <w:rPr>
          <w:rFonts w:hint="eastAsia" w:ascii="宋体" w:hAnsi="宋体"/>
          <w:sz w:val="18"/>
          <w:szCs w:val="18"/>
        </w:rPr>
        <w:t>所涉及的</w:t>
      </w:r>
      <w:r>
        <w:rPr>
          <w:rFonts w:hint="eastAsia" w:ascii="宋体" w:hAnsi="宋体"/>
          <w:sz w:val="18"/>
          <w:szCs w:val="18"/>
          <w:lang w:val="de-DE"/>
        </w:rPr>
        <w:t>风险。然而，其他降低风险的措施也能达到同样的目的。</w:t>
      </w:r>
    </w:p>
    <w:p w14:paraId="121B7566">
      <w:pPr>
        <w:ind w:firstLine="420" w:firstLineChars="200"/>
        <w:jc w:val="left"/>
        <w:rPr>
          <w:rFonts w:ascii="宋体" w:hAnsi="宋体"/>
          <w:lang w:val="de-DE"/>
        </w:rPr>
      </w:pPr>
      <w:r>
        <w:rPr>
          <w:rFonts w:hint="eastAsia" w:ascii="宋体" w:hAnsi="宋体"/>
          <w:lang w:val="de-DE"/>
        </w:rPr>
        <w:t>认证机构应让客户知晓</w:t>
      </w:r>
      <w:r>
        <w:rPr>
          <w:rFonts w:hint="eastAsia" w:ascii="宋体" w:hAnsi="宋体"/>
          <w:lang w:val="en-US" w:eastAsia="zh-CN"/>
        </w:rPr>
        <w:t>在</w:t>
      </w:r>
      <w:r>
        <w:rPr>
          <w:rFonts w:hint="eastAsia" w:ascii="宋体" w:hAnsi="宋体"/>
          <w:lang w:val="de-DE"/>
        </w:rPr>
        <w:t>第二阶段</w:t>
      </w:r>
      <w:r>
        <w:rPr>
          <w:rFonts w:hint="eastAsia" w:ascii="宋体" w:hAnsi="宋体"/>
          <w:lang w:val="en-US" w:eastAsia="zh-CN"/>
        </w:rPr>
        <w:t>可以要求对其他</w:t>
      </w:r>
      <w:r>
        <w:rPr>
          <w:rFonts w:hint="eastAsia" w:ascii="宋体" w:hAnsi="宋体"/>
          <w:lang w:val="de-DE"/>
        </w:rPr>
        <w:t>类型的信息和记录</w:t>
      </w:r>
      <w:r>
        <w:rPr>
          <w:rFonts w:hint="eastAsia" w:ascii="宋体" w:hAnsi="宋体"/>
          <w:lang w:val="en-US" w:eastAsia="zh-CN"/>
        </w:rPr>
        <w:t>进行</w:t>
      </w:r>
      <w:r>
        <w:rPr>
          <w:rFonts w:hint="eastAsia" w:ascii="宋体" w:hAnsi="宋体"/>
          <w:lang w:val="de-DE"/>
        </w:rPr>
        <w:t>详细检查。</w:t>
      </w:r>
    </w:p>
    <w:p w14:paraId="3CB3D342">
      <w:pPr>
        <w:pStyle w:val="70"/>
        <w:numPr>
          <w:ilvl w:val="0"/>
          <w:numId w:val="0"/>
        </w:numPr>
        <w:spacing w:before="156" w:after="156"/>
        <w:rPr>
          <w:rFonts w:hAnsi="黑体"/>
        </w:rPr>
      </w:pPr>
      <w:r>
        <w:rPr>
          <w:rFonts w:hint="eastAsia" w:hAnsi="黑体"/>
        </w:rPr>
        <w:t xml:space="preserve">9.3.2.2 </w:t>
      </w:r>
      <w:r>
        <w:rPr>
          <w:rFonts w:hint="eastAsia" w:hAnsi="黑体"/>
          <w:lang w:val="en-US" w:eastAsia="zh-CN"/>
        </w:rPr>
        <w:t xml:space="preserve"> </w:t>
      </w:r>
      <w:r>
        <w:rPr>
          <w:rFonts w:hint="eastAsia" w:hAnsi="黑体"/>
        </w:rPr>
        <w:t>第二阶段</w:t>
      </w:r>
    </w:p>
    <w:p w14:paraId="7B2C1929">
      <w:pPr>
        <w:ind w:firstLine="420" w:firstLineChars="200"/>
        <w:rPr>
          <w:rFonts w:ascii="宋体" w:hAnsi="宋体"/>
          <w:lang w:val="de-DE"/>
        </w:rPr>
      </w:pPr>
      <w:r>
        <w:rPr>
          <w:rFonts w:hint="eastAsia" w:ascii="宋体" w:hAnsi="宋体"/>
        </w:rPr>
        <w:t>认证机构</w:t>
      </w:r>
      <w:r>
        <w:rPr>
          <w:rFonts w:hint="eastAsia" w:ascii="宋体" w:hAnsi="宋体"/>
          <w:lang w:val="de-DE"/>
        </w:rPr>
        <w:t>应</w:t>
      </w:r>
      <w:r>
        <w:rPr>
          <w:rFonts w:hint="eastAsia" w:ascii="宋体" w:hAnsi="宋体"/>
        </w:rPr>
        <w:t>根据第一阶段审核报告中的审核发现，制定实施第二阶段的审核计划。除评价ISMS的有效实施外，第二阶段的目的</w:t>
      </w:r>
      <w:r>
        <w:rPr>
          <w:rFonts w:hint="eastAsia" w:ascii="宋体" w:hAnsi="宋体"/>
          <w:lang w:val="de-DE"/>
        </w:rPr>
        <w:t>还包括确认客户遵守自身的策略、目标和规程。</w:t>
      </w:r>
    </w:p>
    <w:p w14:paraId="7288D983">
      <w:pPr>
        <w:ind w:right="-334" w:rightChars="-159"/>
        <w:rPr>
          <w:rFonts w:ascii="宋体" w:hAnsi="宋体"/>
          <w:szCs w:val="21"/>
          <w:lang w:val="de-DE"/>
        </w:rPr>
      </w:pPr>
      <w:r>
        <w:rPr>
          <w:rFonts w:hint="eastAsia" w:ascii="黑体" w:hAnsi="黑体" w:eastAsia="黑体"/>
          <w:szCs w:val="21"/>
        </w:rPr>
        <w:t xml:space="preserve">    </w:t>
      </w:r>
      <w:r>
        <w:rPr>
          <w:rFonts w:hint="eastAsia" w:ascii="宋体" w:hAnsi="宋体"/>
          <w:kern w:val="0"/>
          <w:szCs w:val="21"/>
          <w:lang w:val="de-DE"/>
        </w:rPr>
        <w:t>为此，审核应重点关注客户</w:t>
      </w:r>
      <w:r>
        <w:rPr>
          <w:rFonts w:hint="eastAsia" w:ascii="宋体" w:hAnsi="宋体"/>
          <w:kern w:val="0"/>
          <w:szCs w:val="21"/>
          <w:lang w:val="de-DE" w:eastAsia="zh-CN"/>
        </w:rPr>
        <w:t>的</w:t>
      </w:r>
      <w:r>
        <w:rPr>
          <w:rFonts w:hint="eastAsia" w:ascii="宋体" w:hAnsi="宋体"/>
          <w:kern w:val="0"/>
          <w:szCs w:val="21"/>
          <w:lang w:val="en-US" w:eastAsia="zh-CN"/>
        </w:rPr>
        <w:t>以下方面</w:t>
      </w:r>
      <w:r>
        <w:rPr>
          <w:rFonts w:hint="eastAsia" w:ascii="宋体" w:hAnsi="宋体"/>
          <w:kern w:val="0"/>
          <w:szCs w:val="21"/>
          <w:lang w:val="de-DE"/>
        </w:rPr>
        <w:t>：</w:t>
      </w:r>
    </w:p>
    <w:p w14:paraId="2E2E3382">
      <w:pPr>
        <w:pStyle w:val="85"/>
        <w:numPr>
          <w:ilvl w:val="0"/>
          <w:numId w:val="38"/>
        </w:numPr>
        <w:rPr>
          <w:rFonts w:hAnsi="宋体"/>
          <w:szCs w:val="21"/>
        </w:rPr>
      </w:pPr>
      <w:r>
        <w:rPr>
          <w:rFonts w:hint="eastAsia" w:hAnsi="宋体"/>
          <w:szCs w:val="21"/>
        </w:rPr>
        <w:t>最高管理</w:t>
      </w:r>
      <w:r>
        <w:rPr>
          <w:rFonts w:hAnsi="宋体"/>
          <w:szCs w:val="21"/>
        </w:rPr>
        <w:t>层</w:t>
      </w:r>
      <w:r>
        <w:rPr>
          <w:rFonts w:hint="eastAsia" w:hAnsi="宋体"/>
          <w:szCs w:val="21"/>
        </w:rPr>
        <w:t>对信息安全目标的领导和承诺；</w:t>
      </w:r>
    </w:p>
    <w:p w14:paraId="6848174D">
      <w:pPr>
        <w:pStyle w:val="85"/>
        <w:numPr>
          <w:ilvl w:val="0"/>
          <w:numId w:val="38"/>
        </w:numPr>
        <w:rPr>
          <w:rFonts w:hAnsi="宋体"/>
          <w:szCs w:val="21"/>
        </w:rPr>
      </w:pPr>
      <w:r>
        <w:rPr>
          <w:rFonts w:hint="eastAsia" w:hAnsi="宋体"/>
          <w:szCs w:val="21"/>
        </w:rPr>
        <w:t>信息安全风险评估，</w:t>
      </w:r>
      <w:r>
        <w:rPr>
          <w:rFonts w:hint="eastAsia" w:hAnsi="宋体"/>
          <w:szCs w:val="21"/>
          <w:lang w:val="en-US" w:eastAsia="zh-CN"/>
        </w:rPr>
        <w:t>包括确保</w:t>
      </w:r>
      <w:r>
        <w:rPr>
          <w:rFonts w:hint="eastAsia" w:hAnsi="宋体"/>
          <w:szCs w:val="21"/>
        </w:rPr>
        <w:t>在重复</w:t>
      </w:r>
      <w:r>
        <w:rPr>
          <w:rFonts w:hint="eastAsia" w:hAnsi="宋体"/>
          <w:szCs w:val="21"/>
          <w:lang w:val="en-US" w:eastAsia="zh-CN"/>
        </w:rPr>
        <w:t>实施风险</w:t>
      </w:r>
      <w:r>
        <w:rPr>
          <w:rFonts w:hint="eastAsia" w:hAnsi="宋体"/>
          <w:szCs w:val="21"/>
        </w:rPr>
        <w:t>评估时</w:t>
      </w:r>
      <w:r>
        <w:rPr>
          <w:rFonts w:hint="eastAsia" w:hAnsi="宋体"/>
          <w:szCs w:val="21"/>
          <w:lang w:val="en-US" w:eastAsia="zh-CN"/>
        </w:rPr>
        <w:t>能</w:t>
      </w:r>
      <w:r>
        <w:rPr>
          <w:rFonts w:hint="eastAsia" w:hAnsi="宋体"/>
          <w:szCs w:val="21"/>
        </w:rPr>
        <w:t>产生一致的、有效的</w:t>
      </w:r>
      <w:r>
        <w:rPr>
          <w:rFonts w:hAnsi="宋体"/>
          <w:szCs w:val="21"/>
        </w:rPr>
        <w:t>和</w:t>
      </w:r>
      <w:r>
        <w:rPr>
          <w:rFonts w:hint="eastAsia" w:hAnsi="宋体"/>
          <w:szCs w:val="21"/>
        </w:rPr>
        <w:t>可比较的结果；</w:t>
      </w:r>
    </w:p>
    <w:p w14:paraId="206D963F">
      <w:pPr>
        <w:pStyle w:val="85"/>
        <w:numPr>
          <w:ilvl w:val="0"/>
          <w:numId w:val="38"/>
        </w:numPr>
        <w:rPr>
          <w:rFonts w:hAnsi="宋体"/>
          <w:szCs w:val="21"/>
        </w:rPr>
      </w:pPr>
      <w:r>
        <w:rPr>
          <w:rFonts w:hint="eastAsia" w:hAnsi="宋体"/>
          <w:szCs w:val="21"/>
        </w:rPr>
        <w:t>根据信息安全风险评估和风险处置过程</w:t>
      </w:r>
      <w:r>
        <w:rPr>
          <w:rFonts w:hint="eastAsia" w:hAnsi="宋体"/>
          <w:szCs w:val="21"/>
          <w:lang w:val="en-US" w:eastAsia="zh-CN"/>
        </w:rPr>
        <w:t>来</w:t>
      </w:r>
      <w:r>
        <w:rPr>
          <w:rFonts w:hint="eastAsia" w:hAnsi="宋体"/>
          <w:szCs w:val="21"/>
        </w:rPr>
        <w:t>确定控制；</w:t>
      </w:r>
    </w:p>
    <w:p w14:paraId="0534B374">
      <w:pPr>
        <w:pStyle w:val="85"/>
        <w:numPr>
          <w:ilvl w:val="0"/>
          <w:numId w:val="38"/>
        </w:numPr>
        <w:rPr>
          <w:rFonts w:hAnsi="宋体"/>
          <w:szCs w:val="21"/>
        </w:rPr>
      </w:pPr>
      <w:r>
        <w:rPr>
          <w:rFonts w:hint="eastAsia" w:hAnsi="宋体"/>
          <w:szCs w:val="21"/>
        </w:rPr>
        <w:t>信息安全绩效和ISMS有效性，</w:t>
      </w:r>
      <w:r>
        <w:rPr>
          <w:rFonts w:hint="eastAsia" w:hAnsi="宋体"/>
          <w:szCs w:val="21"/>
          <w:lang w:val="en-US" w:eastAsia="zh-CN"/>
        </w:rPr>
        <w:t>包括</w:t>
      </w:r>
      <w:r>
        <w:rPr>
          <w:rFonts w:hint="eastAsia" w:hAnsi="宋体"/>
          <w:szCs w:val="21"/>
        </w:rPr>
        <w:t>根据</w:t>
      </w:r>
      <w:r>
        <w:rPr>
          <w:rFonts w:hint="eastAsia" w:hAnsi="宋体"/>
          <w:szCs w:val="21"/>
          <w:lang w:val="de-DE"/>
        </w:rPr>
        <w:t>信息安全目标对其实施评价</w:t>
      </w:r>
      <w:r>
        <w:rPr>
          <w:rFonts w:hint="eastAsia" w:hAnsi="宋体"/>
          <w:szCs w:val="21"/>
        </w:rPr>
        <w:t>；</w:t>
      </w:r>
    </w:p>
    <w:p w14:paraId="4C5C3171">
      <w:pPr>
        <w:pStyle w:val="85"/>
        <w:numPr>
          <w:ilvl w:val="0"/>
          <w:numId w:val="38"/>
        </w:numPr>
        <w:rPr>
          <w:rFonts w:hAnsi="宋体"/>
          <w:szCs w:val="21"/>
        </w:rPr>
      </w:pPr>
      <w:r>
        <w:rPr>
          <w:rFonts w:hint="eastAsia" w:hAnsi="宋体"/>
          <w:szCs w:val="21"/>
        </w:rPr>
        <w:t>所确定的控制、适用性声明、</w:t>
      </w:r>
      <w:r>
        <w:rPr>
          <w:rFonts w:hint="eastAsia" w:hAnsi="宋体"/>
          <w:szCs w:val="21"/>
          <w:lang w:val="en-US" w:eastAsia="zh-CN"/>
        </w:rPr>
        <w:t>信息安全</w:t>
      </w:r>
      <w:r>
        <w:rPr>
          <w:rFonts w:hint="eastAsia" w:hAnsi="宋体"/>
          <w:szCs w:val="21"/>
        </w:rPr>
        <w:t>风险评估结果、风险处置过程与信息安全方针</w:t>
      </w:r>
      <w:r>
        <w:rPr>
          <w:rFonts w:hAnsi="宋体"/>
          <w:szCs w:val="21"/>
        </w:rPr>
        <w:t>和</w:t>
      </w:r>
      <w:r>
        <w:rPr>
          <w:rFonts w:hint="eastAsia" w:hAnsi="宋体"/>
          <w:szCs w:val="21"/>
          <w:lang w:val="en-US" w:eastAsia="zh-CN"/>
        </w:rPr>
        <w:t>信息安全</w:t>
      </w:r>
      <w:r>
        <w:rPr>
          <w:rFonts w:hint="eastAsia" w:hAnsi="宋体"/>
          <w:szCs w:val="21"/>
        </w:rPr>
        <w:t>目标之间的</w:t>
      </w:r>
      <w:r>
        <w:rPr>
          <w:rFonts w:hint="eastAsia" w:hAnsi="宋体"/>
          <w:szCs w:val="21"/>
          <w:lang w:val="en-US" w:eastAsia="zh-CN"/>
        </w:rPr>
        <w:t>对应关系</w:t>
      </w:r>
      <w:r>
        <w:rPr>
          <w:rFonts w:hint="eastAsia" w:hAnsi="宋体"/>
          <w:szCs w:val="21"/>
        </w:rPr>
        <w:t>；</w:t>
      </w:r>
    </w:p>
    <w:p w14:paraId="29C1900B">
      <w:pPr>
        <w:pStyle w:val="85"/>
        <w:numPr>
          <w:ilvl w:val="0"/>
          <w:numId w:val="38"/>
        </w:numPr>
        <w:rPr>
          <w:rFonts w:hAnsi="宋体"/>
          <w:szCs w:val="21"/>
        </w:rPr>
      </w:pPr>
      <w:r>
        <w:rPr>
          <w:rFonts w:hint="eastAsia" w:hAnsi="宋体"/>
          <w:szCs w:val="21"/>
        </w:rPr>
        <w:t>控制的实现（见</w:t>
      </w:r>
      <w:r>
        <w:rPr>
          <w:rFonts w:hint="eastAsia" w:hAnsi="宋体"/>
          <w:szCs w:val="21"/>
          <w:lang w:val="de-DE"/>
        </w:rPr>
        <w:t>附录</w:t>
      </w:r>
      <w:r>
        <w:rPr>
          <w:rFonts w:hint="eastAsia" w:hAnsi="宋体"/>
          <w:szCs w:val="21"/>
          <w:lang w:val="en-US" w:eastAsia="zh-CN"/>
        </w:rPr>
        <w:t>E</w:t>
      </w:r>
      <w:r>
        <w:rPr>
          <w:rFonts w:hint="eastAsia" w:hAnsi="宋体"/>
          <w:szCs w:val="21"/>
        </w:rPr>
        <w:t>-审核控制的示例）</w:t>
      </w:r>
      <w:r>
        <w:rPr>
          <w:rFonts w:hint="eastAsia" w:hAnsi="宋体"/>
          <w:szCs w:val="21"/>
          <w:lang w:eastAsia="zh-CN"/>
        </w:rPr>
        <w:t>：</w:t>
      </w:r>
      <w:r>
        <w:rPr>
          <w:rFonts w:hint="eastAsia" w:hAnsi="宋体"/>
          <w:szCs w:val="21"/>
          <w:lang w:val="en-US" w:eastAsia="zh-CN"/>
        </w:rPr>
        <w:t>审核应</w:t>
      </w:r>
      <w:r>
        <w:rPr>
          <w:rFonts w:hint="eastAsia" w:hAnsi="宋体"/>
          <w:szCs w:val="21"/>
        </w:rPr>
        <w:t>考虑外部环境、内部环境、相关风险以及组织对信息安全过程和控制的监视、测量与分析过程，</w:t>
      </w:r>
      <w:r>
        <w:rPr>
          <w:rFonts w:hint="eastAsia" w:hAnsi="宋体"/>
          <w:szCs w:val="21"/>
          <w:lang w:val="en-US" w:eastAsia="zh-CN"/>
        </w:rPr>
        <w:t>并</w:t>
      </w:r>
      <w:r>
        <w:rPr>
          <w:rFonts w:hint="eastAsia" w:hAnsi="宋体"/>
          <w:szCs w:val="21"/>
        </w:rPr>
        <w:t>确定待实现的控制是否已经实现且在整体上是有效的；</w:t>
      </w:r>
    </w:p>
    <w:p w14:paraId="621F4F56">
      <w:pPr>
        <w:pStyle w:val="85"/>
        <w:numPr>
          <w:ilvl w:val="0"/>
          <w:numId w:val="38"/>
        </w:numPr>
        <w:rPr>
          <w:rFonts w:hAnsi="宋体"/>
          <w:szCs w:val="21"/>
        </w:rPr>
      </w:pPr>
      <w:r>
        <w:rPr>
          <w:rFonts w:hint="eastAsia" w:hAnsi="宋体"/>
          <w:szCs w:val="21"/>
        </w:rPr>
        <w:t>方案、过程、规程</w:t>
      </w:r>
      <w:r>
        <w:rPr>
          <w:rFonts w:hint="eastAsia" w:hAnsi="宋体"/>
          <w:szCs w:val="21"/>
          <w:lang w:val="de-DE"/>
        </w:rPr>
        <w:t>、记录、内部审核和对ISMS有效性</w:t>
      </w:r>
      <w:r>
        <w:rPr>
          <w:rFonts w:hint="eastAsia" w:hAnsi="宋体"/>
          <w:szCs w:val="21"/>
        </w:rPr>
        <w:t>的</w:t>
      </w:r>
      <w:r>
        <w:rPr>
          <w:rFonts w:hint="eastAsia" w:hAnsi="宋体"/>
          <w:szCs w:val="21"/>
          <w:highlight w:val="none"/>
        </w:rPr>
        <w:t>评审</w:t>
      </w:r>
      <w:r>
        <w:rPr>
          <w:rFonts w:hint="eastAsia" w:hAnsi="宋体"/>
          <w:szCs w:val="21"/>
        </w:rPr>
        <w:t>，</w:t>
      </w:r>
      <w:r>
        <w:rPr>
          <w:rFonts w:hint="eastAsia" w:hAnsi="宋体"/>
          <w:szCs w:val="21"/>
          <w:lang w:val="en-US" w:eastAsia="zh-CN"/>
        </w:rPr>
        <w:t>且这些都能</w:t>
      </w:r>
      <w:r>
        <w:rPr>
          <w:rFonts w:hint="eastAsia" w:hAnsi="宋体"/>
          <w:szCs w:val="21"/>
        </w:rPr>
        <w:t>追溯</w:t>
      </w:r>
      <w:r>
        <w:rPr>
          <w:rFonts w:hint="eastAsia" w:hAnsi="宋体"/>
          <w:szCs w:val="21"/>
          <w:lang w:val="en-US" w:eastAsia="zh-CN"/>
        </w:rPr>
        <w:t>到最高</w:t>
      </w:r>
      <w:r>
        <w:rPr>
          <w:rFonts w:hint="eastAsia" w:hAnsi="宋体"/>
          <w:szCs w:val="21"/>
        </w:rPr>
        <w:t>管理</w:t>
      </w:r>
      <w:r>
        <w:rPr>
          <w:rFonts w:hint="eastAsia" w:hAnsi="宋体"/>
          <w:szCs w:val="21"/>
          <w:lang w:val="en-US" w:eastAsia="zh-CN"/>
        </w:rPr>
        <w:t>层的</w:t>
      </w:r>
      <w:r>
        <w:rPr>
          <w:rFonts w:hint="eastAsia" w:hAnsi="宋体"/>
          <w:szCs w:val="21"/>
        </w:rPr>
        <w:t>决定</w:t>
      </w:r>
      <w:r>
        <w:rPr>
          <w:rFonts w:hint="eastAsia" w:hAnsi="宋体"/>
          <w:szCs w:val="21"/>
          <w:lang w:val="de-DE"/>
        </w:rPr>
        <w:t>、信息安全方</w:t>
      </w:r>
      <w:r>
        <w:rPr>
          <w:rFonts w:hint="eastAsia" w:hAnsi="宋体"/>
          <w:szCs w:val="21"/>
        </w:rPr>
        <w:t>针和信息安全目标。</w:t>
      </w:r>
    </w:p>
    <w:p w14:paraId="35D05517">
      <w:pPr>
        <w:pStyle w:val="66"/>
        <w:numPr>
          <w:ilvl w:val="2"/>
          <w:numId w:val="19"/>
        </w:numPr>
        <w:spacing w:before="156" w:after="156"/>
        <w:rPr>
          <w:rFonts w:hAnsi="黑体"/>
        </w:rPr>
      </w:pPr>
      <w:bookmarkStart w:id="275" w:name="_Toc5326"/>
      <w:bookmarkStart w:id="276" w:name="_Toc2149"/>
      <w:bookmarkStart w:id="277" w:name="_Toc434010472"/>
      <w:bookmarkStart w:id="278" w:name="_Toc496168578"/>
      <w:r>
        <w:rPr>
          <w:rFonts w:hint="eastAsia" w:hAnsi="黑体"/>
        </w:rPr>
        <w:t>实施审核</w:t>
      </w:r>
      <w:bookmarkEnd w:id="275"/>
      <w:bookmarkEnd w:id="276"/>
      <w:bookmarkEnd w:id="277"/>
      <w:bookmarkEnd w:id="278"/>
    </w:p>
    <w:p w14:paraId="124A31D4">
      <w:pPr>
        <w:pStyle w:val="70"/>
        <w:numPr>
          <w:ilvl w:val="0"/>
          <w:numId w:val="0"/>
        </w:numPr>
        <w:spacing w:before="156" w:after="156"/>
        <w:rPr>
          <w:rFonts w:hAnsi="黑体"/>
        </w:rPr>
      </w:pPr>
      <w:r>
        <w:rPr>
          <w:rFonts w:hint="eastAsia" w:hAnsi="黑体"/>
        </w:rPr>
        <w:t>9.4.1</w:t>
      </w:r>
      <w:r>
        <w:rPr>
          <w:rFonts w:hint="eastAsia" w:hAnsi="黑体"/>
          <w:lang w:val="en-US" w:eastAsia="zh-CN"/>
        </w:rPr>
        <w:t xml:space="preserve"> </w:t>
      </w:r>
      <w:r>
        <w:rPr>
          <w:rFonts w:hint="eastAsia" w:hAnsi="黑体"/>
        </w:rPr>
        <w:t xml:space="preserve"> 总则</w:t>
      </w:r>
    </w:p>
    <w:p w14:paraId="45CA02FC">
      <w:pPr>
        <w:ind w:firstLine="420" w:firstLineChars="200"/>
        <w:jc w:val="left"/>
        <w:rPr>
          <w:rFonts w:hAnsi="宋体"/>
          <w:szCs w:val="21"/>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中9.4的要求适用。并且，</w:t>
      </w:r>
      <w:r>
        <w:rPr>
          <w:rFonts w:hint="eastAsia" w:ascii="宋体" w:hAnsi="宋体"/>
          <w:kern w:val="0"/>
          <w:szCs w:val="21"/>
        </w:rPr>
        <w:t>9.4.2和9.4.3的</w:t>
      </w:r>
      <w:r>
        <w:rPr>
          <w:rFonts w:hint="eastAsia" w:ascii="宋体" w:hAnsi="宋体"/>
          <w:kern w:val="0"/>
          <w:szCs w:val="21"/>
          <w:lang w:val="de-DE"/>
        </w:rPr>
        <w:t>要求和指南适用</w:t>
      </w:r>
      <w:r>
        <w:rPr>
          <w:rFonts w:hint="eastAsia" w:ascii="宋体" w:hAnsi="宋体"/>
          <w:szCs w:val="21"/>
        </w:rPr>
        <w:t>。</w:t>
      </w:r>
    </w:p>
    <w:p w14:paraId="0D15B7E9">
      <w:pPr>
        <w:pStyle w:val="70"/>
        <w:numPr>
          <w:ilvl w:val="0"/>
          <w:numId w:val="0"/>
        </w:numPr>
        <w:spacing w:before="156" w:after="156"/>
        <w:rPr>
          <w:rFonts w:hAnsi="黑体"/>
        </w:rPr>
      </w:pPr>
      <w:r>
        <w:rPr>
          <w:rFonts w:hint="eastAsia" w:hAnsi="黑体"/>
        </w:rPr>
        <w:t xml:space="preserve">9.4.2 </w:t>
      </w:r>
      <w:r>
        <w:rPr>
          <w:rFonts w:hint="eastAsia" w:hAnsi="黑体"/>
          <w:lang w:val="en-US" w:eastAsia="zh-CN"/>
        </w:rPr>
        <w:t xml:space="preserve"> </w:t>
      </w:r>
      <w:r>
        <w:rPr>
          <w:rFonts w:hint="eastAsia" w:hAnsi="黑体"/>
        </w:rPr>
        <w:t>ISMS审核的特定要素</w:t>
      </w:r>
    </w:p>
    <w:p w14:paraId="1285974E">
      <w:pPr>
        <w:ind w:firstLine="420" w:firstLineChars="200"/>
        <w:jc w:val="left"/>
        <w:rPr>
          <w:rFonts w:ascii="宋体" w:hAnsi="宋体"/>
          <w:lang w:val="de-DE"/>
        </w:rPr>
      </w:pPr>
      <w:r>
        <w:rPr>
          <w:rFonts w:hint="eastAsia" w:ascii="宋体" w:hAnsi="宋体"/>
          <w:lang w:val="de-DE"/>
        </w:rPr>
        <w:t>认证机构</w:t>
      </w:r>
      <w:r>
        <w:rPr>
          <w:rFonts w:hint="eastAsia" w:ascii="宋体" w:hAnsi="宋体"/>
          <w:lang w:val="de-DE" w:eastAsia="zh-CN"/>
        </w:rPr>
        <w:t>的</w:t>
      </w:r>
      <w:r>
        <w:rPr>
          <w:rFonts w:hint="eastAsia" w:ascii="宋体" w:hAnsi="宋体"/>
          <w:lang w:val="de-DE"/>
        </w:rPr>
        <w:t>审核组应：</w:t>
      </w:r>
    </w:p>
    <w:p w14:paraId="097AEC15">
      <w:pPr>
        <w:pStyle w:val="85"/>
        <w:numPr>
          <w:ilvl w:val="0"/>
          <w:numId w:val="39"/>
        </w:numPr>
        <w:ind w:left="777" w:hanging="357"/>
        <w:rPr>
          <w:rFonts w:hAnsi="宋体"/>
          <w:szCs w:val="21"/>
        </w:rPr>
      </w:pPr>
      <w:r>
        <w:rPr>
          <w:rFonts w:hint="eastAsia" w:hAnsi="宋体"/>
          <w:szCs w:val="21"/>
        </w:rPr>
        <w:t>要求客户证实</w:t>
      </w:r>
      <w:r>
        <w:rPr>
          <w:rFonts w:hint="eastAsia" w:hAnsi="宋体"/>
          <w:szCs w:val="21"/>
          <w:lang w:val="en-US" w:eastAsia="zh-CN"/>
        </w:rPr>
        <w:t>在</w:t>
      </w:r>
      <w:r>
        <w:rPr>
          <w:rFonts w:hint="eastAsia" w:hAnsi="宋体"/>
          <w:szCs w:val="21"/>
        </w:rPr>
        <w:t>ISMS范围内</w:t>
      </w:r>
      <w:r>
        <w:rPr>
          <w:rFonts w:hint="eastAsia" w:hAnsi="宋体"/>
          <w:szCs w:val="21"/>
          <w:lang w:eastAsia="zh-CN"/>
        </w:rPr>
        <w:t>，</w:t>
      </w:r>
      <w:r>
        <w:rPr>
          <w:rFonts w:hint="eastAsia" w:hAnsi="宋体"/>
          <w:szCs w:val="21"/>
        </w:rPr>
        <w:t>信息安全风险评估与ISMS运行是相关的和充分的；</w:t>
      </w:r>
    </w:p>
    <w:p w14:paraId="78FE3A51">
      <w:pPr>
        <w:pStyle w:val="85"/>
        <w:numPr>
          <w:ilvl w:val="0"/>
          <w:numId w:val="39"/>
        </w:numPr>
        <w:rPr>
          <w:rFonts w:hAnsi="宋体"/>
          <w:szCs w:val="21"/>
        </w:rPr>
      </w:pPr>
      <w:r>
        <w:rPr>
          <w:rFonts w:hint="eastAsia" w:hAnsi="宋体"/>
          <w:szCs w:val="21"/>
        </w:rPr>
        <w:t>确定客户识别、检查和评价信息安全风险的规程及其实施结果是否与客户的方针、目标和指标相一致。</w:t>
      </w:r>
    </w:p>
    <w:p w14:paraId="5F01B013">
      <w:pPr>
        <w:ind w:firstLine="420" w:firstLineChars="200"/>
        <w:jc w:val="left"/>
        <w:rPr>
          <w:rFonts w:ascii="宋体" w:hAnsi="宋体"/>
          <w:lang w:val="de-DE"/>
        </w:rPr>
      </w:pPr>
      <w:r>
        <w:rPr>
          <w:rFonts w:hint="eastAsia" w:ascii="宋体" w:hAnsi="宋体"/>
          <w:lang w:val="de-DE"/>
        </w:rPr>
        <w:t>认证机构还应确定用于风险评估的规程是否</w:t>
      </w:r>
      <w:r>
        <w:rPr>
          <w:rFonts w:hint="eastAsia" w:ascii="宋体" w:hAnsi="宋体"/>
          <w:lang w:val="en-US" w:eastAsia="zh-CN"/>
        </w:rPr>
        <w:t>合理</w:t>
      </w:r>
      <w:r>
        <w:rPr>
          <w:rFonts w:hint="eastAsia" w:ascii="宋体" w:hAnsi="宋体"/>
          <w:lang w:val="de-DE"/>
        </w:rPr>
        <w:t>并得到正确实施。</w:t>
      </w:r>
    </w:p>
    <w:p w14:paraId="132B7E68">
      <w:pPr>
        <w:pStyle w:val="70"/>
        <w:numPr>
          <w:ilvl w:val="0"/>
          <w:numId w:val="0"/>
        </w:numPr>
        <w:spacing w:before="156" w:after="156"/>
        <w:rPr>
          <w:rFonts w:hAnsi="黑体"/>
        </w:rPr>
      </w:pPr>
      <w:r>
        <w:rPr>
          <w:rFonts w:hint="eastAsia" w:hAnsi="黑体"/>
        </w:rPr>
        <w:t xml:space="preserve">9.4.3 </w:t>
      </w:r>
      <w:r>
        <w:rPr>
          <w:rFonts w:hint="eastAsia" w:hAnsi="黑体"/>
          <w:lang w:val="en-US" w:eastAsia="zh-CN"/>
        </w:rPr>
        <w:t xml:space="preserve"> </w:t>
      </w:r>
      <w:r>
        <w:rPr>
          <w:rFonts w:hint="eastAsia" w:hAnsi="黑体"/>
        </w:rPr>
        <w:t>审核报告</w:t>
      </w:r>
    </w:p>
    <w:p w14:paraId="3F4CE347">
      <w:pPr>
        <w:pStyle w:val="85"/>
        <w:numPr>
          <w:ilvl w:val="0"/>
          <w:numId w:val="0"/>
        </w:numPr>
        <w:rPr>
          <w:rFonts w:hAnsi="宋体"/>
          <w:szCs w:val="21"/>
        </w:rPr>
      </w:pPr>
      <w:r>
        <w:rPr>
          <w:rFonts w:hint="eastAsia" w:ascii="黑体" w:hAnsi="黑体" w:eastAsia="黑体"/>
          <w:szCs w:val="21"/>
        </w:rPr>
        <w:t>9.4.3.1</w:t>
      </w:r>
      <w:r>
        <w:rPr>
          <w:rFonts w:hint="eastAsia" w:hAnsi="宋体"/>
          <w:szCs w:val="21"/>
        </w:rPr>
        <w:t xml:space="preserve"> 审核报告应提供</w:t>
      </w:r>
      <w:r>
        <w:rPr>
          <w:rFonts w:hint="eastAsia" w:hAnsi="宋体"/>
          <w:szCs w:val="21"/>
          <w:lang w:val="en-US" w:eastAsia="zh-CN"/>
        </w:rPr>
        <w:t>或引用</w:t>
      </w:r>
      <w:r>
        <w:rPr>
          <w:rFonts w:hint="eastAsia" w:hAnsi="宋体"/>
          <w:szCs w:val="21"/>
        </w:rPr>
        <w:t>以下信息：</w:t>
      </w:r>
    </w:p>
    <w:p w14:paraId="6920B069">
      <w:pPr>
        <w:pStyle w:val="85"/>
        <w:numPr>
          <w:ilvl w:val="0"/>
          <w:numId w:val="40"/>
        </w:numPr>
        <w:rPr>
          <w:rFonts w:hAnsi="宋体"/>
          <w:szCs w:val="21"/>
        </w:rPr>
      </w:pPr>
      <w:r>
        <w:rPr>
          <w:rFonts w:hint="eastAsia" w:hAnsi="宋体"/>
          <w:szCs w:val="21"/>
        </w:rPr>
        <w:t>客户信息安全风险分析的审核情况说明；</w:t>
      </w:r>
    </w:p>
    <w:p w14:paraId="0C06B559">
      <w:pPr>
        <w:pStyle w:val="85"/>
        <w:numPr>
          <w:ilvl w:val="0"/>
          <w:numId w:val="40"/>
        </w:numPr>
        <w:rPr>
          <w:rFonts w:hAnsi="宋体"/>
          <w:szCs w:val="21"/>
        </w:rPr>
      </w:pPr>
      <w:r>
        <w:rPr>
          <w:rFonts w:hint="eastAsia" w:hAnsi="宋体"/>
          <w:szCs w:val="21"/>
        </w:rPr>
        <w:t>客户在实施GB/T 22080</w:t>
      </w:r>
      <w:r>
        <w:rPr>
          <w:rFonts w:hint="eastAsia" w:hAnsi="宋体"/>
          <w:szCs w:val="21"/>
          <w:lang w:eastAsia="zh-CN"/>
        </w:rPr>
        <w:t>—</w:t>
      </w:r>
      <w:r>
        <w:rPr>
          <w:rFonts w:hint="eastAsia" w:hAnsi="宋体"/>
          <w:szCs w:val="21"/>
          <w:lang w:val="en-US" w:eastAsia="zh-CN"/>
        </w:rPr>
        <w:t>202X</w:t>
      </w:r>
      <w:r>
        <w:rPr>
          <w:rFonts w:hint="eastAsia" w:hAnsi="宋体"/>
          <w:szCs w:val="21"/>
        </w:rPr>
        <w:t xml:space="preserve"> 6.1.3 c)所要求的比较时，所使用的任何信息安全控制集。</w:t>
      </w:r>
    </w:p>
    <w:p w14:paraId="4919F40C">
      <w:pPr>
        <w:pStyle w:val="85"/>
        <w:numPr>
          <w:ilvl w:val="0"/>
          <w:numId w:val="0"/>
        </w:numPr>
        <w:rPr>
          <w:rFonts w:hAnsi="宋体"/>
          <w:szCs w:val="21"/>
        </w:rPr>
      </w:pPr>
      <w:r>
        <w:rPr>
          <w:rFonts w:hint="eastAsia" w:ascii="黑体" w:hAnsi="黑体" w:eastAsia="黑体"/>
          <w:szCs w:val="21"/>
        </w:rPr>
        <w:t>9.4.3.2</w:t>
      </w:r>
      <w:r>
        <w:rPr>
          <w:rFonts w:hint="eastAsia" w:hAnsi="宋体"/>
          <w:szCs w:val="21"/>
        </w:rPr>
        <w:t xml:space="preserve"> 审核报告应足够详细，以</w:t>
      </w:r>
      <w:r>
        <w:rPr>
          <w:rFonts w:hint="eastAsia" w:hAnsi="宋体"/>
          <w:szCs w:val="21"/>
          <w:lang w:val="en-US" w:eastAsia="zh-CN"/>
        </w:rPr>
        <w:t>便于</w:t>
      </w:r>
      <w:r>
        <w:rPr>
          <w:rFonts w:hint="eastAsia" w:hAnsi="宋体"/>
          <w:szCs w:val="21"/>
        </w:rPr>
        <w:t>和支持认证决定。审核报告应包括：</w:t>
      </w:r>
    </w:p>
    <w:p w14:paraId="20976188">
      <w:pPr>
        <w:pStyle w:val="85"/>
        <w:numPr>
          <w:ilvl w:val="0"/>
          <w:numId w:val="41"/>
        </w:numPr>
        <w:rPr>
          <w:rFonts w:hAnsi="宋体"/>
          <w:szCs w:val="21"/>
        </w:rPr>
      </w:pPr>
      <w:r>
        <w:rPr>
          <w:rFonts w:hint="eastAsia" w:hAnsi="宋体"/>
          <w:szCs w:val="21"/>
        </w:rPr>
        <w:t>所采用的主要审核路线和所使用的审核方法</w:t>
      </w:r>
      <w:r>
        <w:rPr>
          <w:rFonts w:hint="eastAsia" w:hAnsi="宋体"/>
          <w:szCs w:val="21"/>
          <w:lang w:val="de-DE"/>
        </w:rPr>
        <w:t>（见 9.1.</w:t>
      </w:r>
      <w:r>
        <w:rPr>
          <w:rFonts w:hint="eastAsia" w:hAnsi="宋体"/>
          <w:szCs w:val="21"/>
          <w:lang w:val="en-US" w:eastAsia="zh-CN"/>
        </w:rPr>
        <w:t>1</w:t>
      </w:r>
      <w:r>
        <w:rPr>
          <w:rFonts w:hint="eastAsia" w:hAnsi="宋体"/>
          <w:szCs w:val="21"/>
          <w:lang w:val="de-DE"/>
        </w:rPr>
        <w:t>.2)；</w:t>
      </w:r>
    </w:p>
    <w:p w14:paraId="7D242240">
      <w:pPr>
        <w:pStyle w:val="85"/>
        <w:numPr>
          <w:ilvl w:val="0"/>
          <w:numId w:val="41"/>
        </w:numPr>
        <w:rPr>
          <w:rFonts w:hAnsi="宋体"/>
          <w:szCs w:val="21"/>
        </w:rPr>
      </w:pPr>
      <w:r>
        <w:rPr>
          <w:rFonts w:hint="eastAsia" w:hAnsi="宋体"/>
          <w:szCs w:val="21"/>
        </w:rPr>
        <w:t>所引用的适用性声明版本，以及适用时，与客户以往认证审核结果的任何有用的</w:t>
      </w:r>
      <w:r>
        <w:rPr>
          <w:rFonts w:hint="eastAsia" w:hAnsi="宋体"/>
          <w:szCs w:val="21"/>
          <w:lang w:val="en-US" w:eastAsia="zh-CN"/>
        </w:rPr>
        <w:t>比较</w:t>
      </w:r>
      <w:r>
        <w:rPr>
          <w:rFonts w:hint="eastAsia" w:hAnsi="宋体"/>
          <w:szCs w:val="21"/>
        </w:rPr>
        <w:t>。</w:t>
      </w:r>
    </w:p>
    <w:p w14:paraId="2EA0D0B8">
      <w:pPr>
        <w:ind w:firstLine="420" w:firstLineChars="200"/>
        <w:rPr>
          <w:rFonts w:ascii="宋体" w:hAnsi="宋体"/>
          <w:lang w:val="de-DE"/>
        </w:rPr>
      </w:pPr>
      <w:r>
        <w:rPr>
          <w:rFonts w:hint="eastAsia" w:ascii="宋体" w:hAnsi="宋体"/>
          <w:lang w:val="de-DE"/>
        </w:rPr>
        <w:t>完成的问卷、检查清单、</w:t>
      </w:r>
      <w:r>
        <w:rPr>
          <w:rFonts w:hint="eastAsia" w:ascii="宋体" w:hAnsi="宋体"/>
          <w:lang w:val="en-US" w:eastAsia="zh-CN"/>
        </w:rPr>
        <w:t>观察结果</w:t>
      </w:r>
      <w:r>
        <w:rPr>
          <w:rFonts w:hint="eastAsia" w:ascii="宋体" w:hAnsi="宋体"/>
          <w:lang w:val="de-DE"/>
        </w:rPr>
        <w:t>、日志或审核员笔记可以构成审核报告的</w:t>
      </w:r>
      <w:r>
        <w:rPr>
          <w:rFonts w:hint="eastAsia" w:ascii="宋体" w:hAnsi="宋体"/>
          <w:lang w:val="en-US" w:eastAsia="zh-CN"/>
        </w:rPr>
        <w:t>组成</w:t>
      </w:r>
      <w:r>
        <w:rPr>
          <w:rFonts w:hint="eastAsia" w:ascii="宋体" w:hAnsi="宋体"/>
          <w:lang w:val="de-DE"/>
        </w:rPr>
        <w:t>部分。如果使用</w:t>
      </w:r>
      <w:r>
        <w:rPr>
          <w:rFonts w:hint="eastAsia" w:ascii="宋体" w:hAnsi="宋体"/>
          <w:lang w:val="de-DE" w:eastAsia="zh-CN"/>
        </w:rPr>
        <w:t>了</w:t>
      </w:r>
      <w:r>
        <w:rPr>
          <w:rFonts w:hint="eastAsia" w:ascii="宋体" w:hAnsi="宋体"/>
          <w:lang w:val="de-DE"/>
        </w:rPr>
        <w:t>这些方法，这些文件应作为支持认证决定的证据提供给认证机构。有关审核</w:t>
      </w:r>
      <w:r>
        <w:rPr>
          <w:rFonts w:hint="eastAsia" w:ascii="宋体" w:hAnsi="宋体"/>
          <w:lang w:val="en-US" w:eastAsia="zh-CN"/>
        </w:rPr>
        <w:t>中所</w:t>
      </w:r>
      <w:r>
        <w:rPr>
          <w:rFonts w:hint="eastAsia" w:ascii="宋体" w:hAnsi="宋体"/>
          <w:lang w:val="de-DE"/>
        </w:rPr>
        <w:t>评价的样本的信息</w:t>
      </w:r>
      <w:r>
        <w:rPr>
          <w:rFonts w:hint="eastAsia" w:ascii="宋体" w:hAnsi="宋体"/>
          <w:lang w:val="de-DE" w:eastAsia="zh-CN"/>
        </w:rPr>
        <w:t>，</w:t>
      </w:r>
      <w:r>
        <w:rPr>
          <w:rFonts w:hint="eastAsia" w:ascii="宋体" w:hAnsi="宋体"/>
          <w:lang w:val="de-DE"/>
        </w:rPr>
        <w:t>应包含在审核报告或其他认证资料中。</w:t>
      </w:r>
    </w:p>
    <w:p w14:paraId="52192D2D">
      <w:pPr>
        <w:ind w:firstLine="420" w:firstLineChars="200"/>
        <w:rPr>
          <w:rFonts w:ascii="宋体" w:hAnsi="宋体"/>
          <w:lang w:val="de-DE"/>
        </w:rPr>
      </w:pPr>
      <w:r>
        <w:rPr>
          <w:rFonts w:hint="eastAsia" w:ascii="宋体" w:hAnsi="宋体"/>
          <w:lang w:val="de-DE"/>
        </w:rPr>
        <w:t>如果使用了远程</w:t>
      </w:r>
      <w:r>
        <w:rPr>
          <w:rFonts w:hint="eastAsia" w:ascii="宋体" w:hAnsi="宋体"/>
        </w:rPr>
        <w:t>审核</w:t>
      </w:r>
      <w:r>
        <w:rPr>
          <w:rFonts w:hint="eastAsia" w:ascii="宋体" w:hAnsi="宋体"/>
          <w:lang w:val="de-DE"/>
        </w:rPr>
        <w:t>方法，报告应说明远程</w:t>
      </w:r>
      <w:r>
        <w:rPr>
          <w:rFonts w:hint="eastAsia" w:ascii="宋体" w:hAnsi="宋体"/>
        </w:rPr>
        <w:t>审核</w:t>
      </w:r>
      <w:r>
        <w:rPr>
          <w:rFonts w:hint="eastAsia" w:ascii="宋体" w:hAnsi="宋体"/>
          <w:lang w:val="de-DE"/>
        </w:rPr>
        <w:t>方法</w:t>
      </w:r>
      <w:r>
        <w:rPr>
          <w:rFonts w:hint="eastAsia" w:ascii="宋体" w:hAnsi="宋体"/>
        </w:rPr>
        <w:t>在审核中的使用</w:t>
      </w:r>
      <w:r>
        <w:rPr>
          <w:rFonts w:hint="eastAsia" w:ascii="宋体" w:hAnsi="宋体"/>
          <w:lang w:val="de-DE"/>
        </w:rPr>
        <w:t>程度及其</w:t>
      </w:r>
      <w:r>
        <w:rPr>
          <w:rFonts w:hint="eastAsia" w:ascii="宋体" w:hAnsi="宋体"/>
        </w:rPr>
        <w:t>实现审核</w:t>
      </w:r>
      <w:r>
        <w:rPr>
          <w:rFonts w:hint="eastAsia" w:ascii="宋体" w:hAnsi="宋体"/>
          <w:lang w:val="de-DE"/>
        </w:rPr>
        <w:t>目标的有效性。</w:t>
      </w:r>
    </w:p>
    <w:p w14:paraId="473CD504">
      <w:pPr>
        <w:ind w:firstLine="420" w:firstLineChars="200"/>
        <w:rPr>
          <w:rFonts w:ascii="宋体" w:hAnsi="宋体"/>
          <w:lang w:val="de-DE"/>
        </w:rPr>
      </w:pPr>
      <w:r>
        <w:rPr>
          <w:rFonts w:hint="eastAsia" w:ascii="宋体" w:hAnsi="宋体"/>
          <w:lang w:val="en-US" w:eastAsia="zh-CN"/>
        </w:rPr>
        <w:t>当</w:t>
      </w:r>
      <w:r>
        <w:rPr>
          <w:rFonts w:hint="eastAsia" w:ascii="宋体" w:hAnsi="宋体"/>
          <w:lang w:val="de-DE"/>
        </w:rPr>
        <w:t>组织的活动不是在</w:t>
      </w:r>
      <w:r>
        <w:rPr>
          <w:rFonts w:hint="eastAsia" w:ascii="宋体" w:hAnsi="宋体"/>
        </w:rPr>
        <w:t>明确的</w:t>
      </w:r>
      <w:r>
        <w:rPr>
          <w:rFonts w:hint="eastAsia" w:ascii="宋体" w:hAnsi="宋体"/>
          <w:lang w:val="de-DE"/>
        </w:rPr>
        <w:t>物理位置</w:t>
      </w:r>
      <w:r>
        <w:rPr>
          <w:rFonts w:hint="eastAsia" w:ascii="宋体" w:hAnsi="宋体"/>
        </w:rPr>
        <w:t>实施</w:t>
      </w:r>
      <w:r>
        <w:rPr>
          <w:rFonts w:hint="eastAsia" w:ascii="宋体" w:hAnsi="宋体"/>
          <w:lang w:val="de-DE"/>
        </w:rPr>
        <w:t>的，</w:t>
      </w:r>
      <w:r>
        <w:rPr>
          <w:rFonts w:hint="eastAsia" w:ascii="宋体" w:hAnsi="宋体"/>
          <w:lang w:val="en-US" w:eastAsia="zh-CN"/>
        </w:rPr>
        <w:t>而是其</w:t>
      </w:r>
      <w:r>
        <w:rPr>
          <w:rFonts w:hint="eastAsia" w:ascii="宋体" w:hAnsi="宋体"/>
          <w:lang w:val="de-DE"/>
        </w:rPr>
        <w:t>所有活动都是远程</w:t>
      </w:r>
      <w:r>
        <w:rPr>
          <w:rFonts w:hint="eastAsia" w:ascii="宋体" w:hAnsi="宋体"/>
        </w:rPr>
        <w:t>实施</w:t>
      </w:r>
      <w:r>
        <w:rPr>
          <w:rFonts w:hint="eastAsia" w:ascii="宋体" w:hAnsi="宋体"/>
          <w:lang w:eastAsia="zh-CN"/>
        </w:rPr>
        <w:t>的</w:t>
      </w:r>
      <w:r>
        <w:rPr>
          <w:rFonts w:hint="eastAsia" w:ascii="宋体" w:hAnsi="宋体"/>
          <w:lang w:val="en-US" w:eastAsia="zh-CN"/>
        </w:rPr>
        <w:t>时，</w:t>
      </w:r>
      <w:r>
        <w:rPr>
          <w:rFonts w:hint="eastAsia" w:ascii="宋体" w:hAnsi="宋体"/>
        </w:rPr>
        <w:t>审核</w:t>
      </w:r>
      <w:r>
        <w:rPr>
          <w:rFonts w:hint="eastAsia" w:ascii="宋体" w:hAnsi="宋体"/>
          <w:lang w:val="de-DE"/>
        </w:rPr>
        <w:t>报告应说明组织所有</w:t>
      </w:r>
      <w:r>
        <w:rPr>
          <w:rFonts w:hint="eastAsia" w:ascii="宋体" w:hAnsi="宋体"/>
        </w:rPr>
        <w:t>活动</w:t>
      </w:r>
      <w:r>
        <w:rPr>
          <w:rFonts w:hint="eastAsia" w:ascii="宋体" w:hAnsi="宋体"/>
          <w:lang w:val="de-DE"/>
        </w:rPr>
        <w:t>都是远程</w:t>
      </w:r>
      <w:r>
        <w:rPr>
          <w:rFonts w:hint="eastAsia" w:ascii="宋体" w:hAnsi="宋体"/>
        </w:rPr>
        <w:t>实施的</w:t>
      </w:r>
      <w:r>
        <w:rPr>
          <w:rFonts w:hint="eastAsia" w:ascii="宋体" w:hAnsi="宋体"/>
          <w:lang w:val="de-DE"/>
        </w:rPr>
        <w:t>。</w:t>
      </w:r>
    </w:p>
    <w:p w14:paraId="7E35DE5F">
      <w:pPr>
        <w:pStyle w:val="36"/>
        <w:rPr>
          <w:rFonts w:hAnsi="宋体"/>
          <w:szCs w:val="21"/>
          <w:lang w:val="de-DE"/>
        </w:rPr>
      </w:pPr>
      <w:r>
        <w:rPr>
          <w:rFonts w:hint="eastAsia" w:hAnsi="宋体"/>
          <w:szCs w:val="21"/>
          <w:lang w:val="de-DE"/>
        </w:rPr>
        <w:t>报告应考虑客户所采用的内部组织和规程的充分性，以便对其ISMS建立信心。</w:t>
      </w:r>
    </w:p>
    <w:p w14:paraId="5833D762">
      <w:pPr>
        <w:pStyle w:val="36"/>
        <w:rPr>
          <w:rFonts w:hint="eastAsia" w:hAnsi="黑体"/>
          <w:szCs w:val="20"/>
        </w:rPr>
      </w:pPr>
      <w:r>
        <w:rPr>
          <w:rFonts w:hint="eastAsia" w:hAnsi="宋体"/>
          <w:lang w:val="de-DE"/>
        </w:rPr>
        <w:t>报告应</w:t>
      </w:r>
      <w:r>
        <w:rPr>
          <w:rFonts w:hint="eastAsia" w:hAnsi="宋体"/>
          <w:lang w:val="en-US" w:eastAsia="zh-CN"/>
        </w:rPr>
        <w:t>概述与客户</w:t>
      </w:r>
      <w:r>
        <w:rPr>
          <w:rFonts w:hint="eastAsia" w:hAnsi="宋体"/>
          <w:szCs w:val="21"/>
          <w:lang w:val="de-DE"/>
        </w:rPr>
        <w:t>ISMS</w:t>
      </w:r>
      <w:r>
        <w:rPr>
          <w:rFonts w:hint="eastAsia" w:hAnsi="宋体"/>
          <w:szCs w:val="21"/>
          <w:lang w:val="en-US" w:eastAsia="zh-CN"/>
        </w:rPr>
        <w:t>及其</w:t>
      </w:r>
      <w:r>
        <w:rPr>
          <w:rFonts w:hint="eastAsia" w:hAnsi="宋体"/>
          <w:szCs w:val="21"/>
          <w:lang w:val="de-DE"/>
        </w:rPr>
        <w:t>信息安全控制的实现</w:t>
      </w:r>
      <w:r>
        <w:rPr>
          <w:rFonts w:hint="eastAsia" w:hAnsi="宋体"/>
          <w:szCs w:val="21"/>
          <w:lang w:val="en-US" w:eastAsia="zh-CN"/>
        </w:rPr>
        <w:t>和</w:t>
      </w:r>
      <w:r>
        <w:rPr>
          <w:rFonts w:hint="eastAsia" w:hAnsi="宋体"/>
          <w:szCs w:val="21"/>
          <w:lang w:val="de-DE"/>
        </w:rPr>
        <w:t>有效性</w:t>
      </w:r>
      <w:r>
        <w:rPr>
          <w:rFonts w:hint="eastAsia" w:hAnsi="宋体"/>
          <w:szCs w:val="21"/>
          <w:lang w:val="en-US" w:eastAsia="zh-CN"/>
        </w:rPr>
        <w:t>相关</w:t>
      </w:r>
      <w:r>
        <w:rPr>
          <w:rFonts w:hint="eastAsia" w:hAnsi="宋体"/>
          <w:szCs w:val="21"/>
          <w:lang w:val="de-DE"/>
        </w:rPr>
        <w:t>的</w:t>
      </w:r>
      <w:r>
        <w:rPr>
          <w:rFonts w:hint="eastAsia" w:hAnsi="宋体"/>
          <w:szCs w:val="21"/>
          <w:lang w:val="en-US" w:eastAsia="zh-CN"/>
        </w:rPr>
        <w:t>主要观察结果，包括</w:t>
      </w:r>
      <w:r>
        <w:rPr>
          <w:rFonts w:hint="eastAsia" w:hAnsi="宋体"/>
          <w:szCs w:val="21"/>
        </w:rPr>
        <w:t>正面的和负面的。</w:t>
      </w:r>
    </w:p>
    <w:p w14:paraId="1AEFE3A9">
      <w:pPr>
        <w:pStyle w:val="66"/>
        <w:numPr>
          <w:ilvl w:val="2"/>
          <w:numId w:val="19"/>
        </w:numPr>
        <w:spacing w:before="156" w:after="156"/>
        <w:rPr>
          <w:rFonts w:hAnsi="黑体"/>
        </w:rPr>
      </w:pPr>
      <w:bookmarkStart w:id="279" w:name="_Toc496168579"/>
      <w:bookmarkStart w:id="280" w:name="_Toc434010473"/>
      <w:bookmarkStart w:id="281" w:name="_Toc24218"/>
      <w:bookmarkStart w:id="282" w:name="_Toc801"/>
      <w:r>
        <w:rPr>
          <w:rFonts w:hAnsi="黑体"/>
        </w:rPr>
        <w:t>认证决定</w:t>
      </w:r>
      <w:bookmarkEnd w:id="279"/>
      <w:bookmarkEnd w:id="280"/>
      <w:bookmarkEnd w:id="281"/>
      <w:bookmarkEnd w:id="282"/>
    </w:p>
    <w:p w14:paraId="390FA1C0">
      <w:pPr>
        <w:pStyle w:val="70"/>
        <w:numPr>
          <w:ilvl w:val="0"/>
          <w:numId w:val="0"/>
        </w:numPr>
        <w:spacing w:before="156" w:after="156"/>
        <w:rPr>
          <w:rFonts w:hAnsi="黑体"/>
        </w:rPr>
      </w:pPr>
      <w:r>
        <w:rPr>
          <w:rFonts w:hint="eastAsia" w:hAnsi="黑体"/>
        </w:rPr>
        <w:t xml:space="preserve">9.5.1 </w:t>
      </w:r>
      <w:r>
        <w:rPr>
          <w:rFonts w:hint="eastAsia" w:hAnsi="黑体"/>
          <w:lang w:val="en-US" w:eastAsia="zh-CN"/>
        </w:rPr>
        <w:t xml:space="preserve"> </w:t>
      </w:r>
      <w:r>
        <w:rPr>
          <w:rFonts w:hint="eastAsia" w:hAnsi="黑体"/>
        </w:rPr>
        <w:t>总则</w:t>
      </w:r>
    </w:p>
    <w:p w14:paraId="605A4187">
      <w:pPr>
        <w:ind w:firstLine="420" w:firstLineChars="200"/>
        <w:jc w:val="left"/>
        <w:rPr>
          <w:rFonts w:ascii="宋体" w:hAnsi="宋体"/>
          <w:szCs w:val="21"/>
        </w:rPr>
      </w:pPr>
      <w:r>
        <w:rPr>
          <w:rFonts w:hint="eastAsia" w:ascii="宋体" w:hAnsi="宋体"/>
          <w:szCs w:val="21"/>
        </w:rPr>
        <w:t>GB/T 27021.1</w:t>
      </w:r>
      <w:r>
        <w:rPr>
          <w:rFonts w:hint="eastAsia"/>
        </w:rPr>
        <w:t>—</w:t>
      </w:r>
      <w:r>
        <w:rPr>
          <w:rFonts w:hint="eastAsia" w:ascii="宋体" w:hAnsi="宋体"/>
          <w:szCs w:val="21"/>
        </w:rPr>
        <w:t>201</w:t>
      </w:r>
      <w:r>
        <w:rPr>
          <w:rFonts w:ascii="宋体" w:hAnsi="宋体"/>
          <w:szCs w:val="21"/>
        </w:rPr>
        <w:t>7</w:t>
      </w:r>
      <w:r>
        <w:rPr>
          <w:rFonts w:hint="eastAsia" w:ascii="宋体" w:hAnsi="宋体"/>
          <w:szCs w:val="21"/>
        </w:rPr>
        <w:t>中9.5的要求适用。并且，9.5.2的要求和指南适用。</w:t>
      </w:r>
    </w:p>
    <w:p w14:paraId="7F77F359">
      <w:pPr>
        <w:pStyle w:val="70"/>
        <w:numPr>
          <w:ilvl w:val="0"/>
          <w:numId w:val="0"/>
        </w:numPr>
        <w:spacing w:before="156" w:after="156"/>
        <w:rPr>
          <w:rFonts w:hAnsi="黑体"/>
        </w:rPr>
      </w:pPr>
      <w:r>
        <w:rPr>
          <w:rFonts w:hint="eastAsia" w:hAnsi="黑体"/>
        </w:rPr>
        <w:t xml:space="preserve">9.5.2 </w:t>
      </w:r>
      <w:r>
        <w:rPr>
          <w:rFonts w:hint="eastAsia" w:hAnsi="黑体"/>
          <w:lang w:val="en-US" w:eastAsia="zh-CN"/>
        </w:rPr>
        <w:t xml:space="preserve"> </w:t>
      </w:r>
      <w:r>
        <w:rPr>
          <w:rFonts w:hint="eastAsia" w:hAnsi="黑体"/>
        </w:rPr>
        <w:t>认证决定</w:t>
      </w:r>
    </w:p>
    <w:p w14:paraId="62E13C17">
      <w:pPr>
        <w:ind w:firstLine="420" w:firstLineChars="200"/>
        <w:jc w:val="left"/>
        <w:rPr>
          <w:rFonts w:ascii="宋体" w:hAnsi="宋体"/>
          <w:lang w:val="de-DE"/>
        </w:rPr>
      </w:pPr>
      <w:r>
        <w:rPr>
          <w:rFonts w:hint="eastAsia" w:ascii="宋体" w:hAnsi="宋体"/>
          <w:lang w:val="de-DE"/>
        </w:rPr>
        <w:t>认证决定应基于审核报告中审核组对客户ISMS是否通过认证的</w:t>
      </w:r>
      <w:r>
        <w:rPr>
          <w:rFonts w:hint="eastAsia" w:ascii="宋体" w:hAnsi="宋体"/>
        </w:rPr>
        <w:t>推荐意见</w:t>
      </w:r>
      <w:r>
        <w:rPr>
          <w:rFonts w:hint="eastAsia" w:ascii="宋体" w:hAnsi="宋体"/>
          <w:lang w:val="de-DE"/>
        </w:rPr>
        <w:t>。</w:t>
      </w:r>
    </w:p>
    <w:p w14:paraId="55E4E152">
      <w:pPr>
        <w:ind w:firstLine="420" w:firstLineChars="200"/>
        <w:rPr>
          <w:rFonts w:ascii="宋体" w:hAnsi="宋体"/>
          <w:lang w:val="de-DE"/>
        </w:rPr>
      </w:pPr>
      <w:r>
        <w:rPr>
          <w:rFonts w:hint="eastAsia" w:ascii="宋体" w:hAnsi="宋体"/>
          <w:lang w:val="de-DE"/>
        </w:rPr>
        <w:t>只有</w:t>
      </w:r>
      <w:r>
        <w:rPr>
          <w:rFonts w:hint="eastAsia" w:ascii="宋体" w:hAnsi="宋体"/>
          <w:lang w:val="en-US" w:eastAsia="zh-CN"/>
        </w:rPr>
        <w:t>有</w:t>
      </w:r>
      <w:r>
        <w:rPr>
          <w:rFonts w:hint="eastAsia" w:ascii="宋体" w:hAnsi="宋体"/>
          <w:lang w:val="de-DE"/>
        </w:rPr>
        <w:t>充分的证据证实管理评审和ISMS内部审核的安排已实施</w:t>
      </w:r>
      <w:r>
        <w:rPr>
          <w:rFonts w:hint="eastAsia" w:ascii="宋体" w:hAnsi="宋体"/>
          <w:lang w:val="de-DE" w:eastAsia="zh-CN"/>
        </w:rPr>
        <w:t>、</w:t>
      </w:r>
      <w:r>
        <w:rPr>
          <w:rFonts w:hint="eastAsia" w:ascii="宋体" w:hAnsi="宋体"/>
          <w:lang w:val="en-US" w:eastAsia="zh-CN"/>
        </w:rPr>
        <w:t>是</w:t>
      </w:r>
      <w:r>
        <w:rPr>
          <w:rFonts w:hint="eastAsia" w:ascii="宋体" w:hAnsi="宋体"/>
          <w:lang w:val="de-DE"/>
        </w:rPr>
        <w:t>有效</w:t>
      </w:r>
      <w:r>
        <w:rPr>
          <w:rFonts w:hint="eastAsia" w:ascii="宋体" w:hAnsi="宋体"/>
          <w:lang w:val="de-DE" w:eastAsia="zh-CN"/>
        </w:rPr>
        <w:t>的</w:t>
      </w:r>
      <w:r>
        <w:rPr>
          <w:rFonts w:hint="eastAsia" w:ascii="宋体" w:hAnsi="宋体"/>
          <w:lang w:val="de-DE"/>
        </w:rPr>
        <w:t>并将得到保持，才</w:t>
      </w:r>
      <w:r>
        <w:rPr>
          <w:rFonts w:hint="eastAsia" w:ascii="宋体" w:hAnsi="宋体"/>
          <w:lang w:val="en-US" w:eastAsia="zh-CN"/>
        </w:rPr>
        <w:t>能</w:t>
      </w:r>
      <w:r>
        <w:rPr>
          <w:rFonts w:hint="eastAsia" w:ascii="宋体" w:hAnsi="宋体"/>
          <w:lang w:val="de-DE"/>
        </w:rPr>
        <w:t>向客户授予认证。</w:t>
      </w:r>
    </w:p>
    <w:p w14:paraId="79D25FC5">
      <w:pPr>
        <w:pStyle w:val="66"/>
        <w:numPr>
          <w:ilvl w:val="2"/>
          <w:numId w:val="19"/>
        </w:numPr>
        <w:spacing w:before="156" w:after="156"/>
        <w:rPr>
          <w:rFonts w:hAnsi="黑体"/>
        </w:rPr>
      </w:pPr>
      <w:bookmarkStart w:id="283" w:name="_Toc21504"/>
      <w:bookmarkStart w:id="284" w:name="_Toc28700"/>
      <w:bookmarkStart w:id="285" w:name="_Toc434010474"/>
      <w:bookmarkStart w:id="286" w:name="_Toc496168580"/>
      <w:r>
        <w:rPr>
          <w:rFonts w:hint="eastAsia" w:hAnsi="黑体"/>
        </w:rPr>
        <w:t>保持认证</w:t>
      </w:r>
      <w:bookmarkEnd w:id="283"/>
      <w:bookmarkEnd w:id="284"/>
      <w:bookmarkEnd w:id="285"/>
      <w:bookmarkEnd w:id="286"/>
    </w:p>
    <w:p w14:paraId="79AA59A5">
      <w:pPr>
        <w:pStyle w:val="70"/>
        <w:numPr>
          <w:ilvl w:val="0"/>
          <w:numId w:val="0"/>
        </w:numPr>
        <w:spacing w:before="156" w:after="156"/>
        <w:rPr>
          <w:rFonts w:hAnsi="黑体"/>
        </w:rPr>
      </w:pPr>
      <w:r>
        <w:rPr>
          <w:rFonts w:hAnsi="黑体"/>
        </w:rPr>
        <w:t>9.6.1</w:t>
      </w:r>
      <w:r>
        <w:rPr>
          <w:rFonts w:hint="eastAsia" w:hAnsi="黑体"/>
        </w:rPr>
        <w:t>　总则</w:t>
      </w:r>
    </w:p>
    <w:p w14:paraId="4D78D20F">
      <w:pPr>
        <w:ind w:firstLine="420" w:firstLineChars="200"/>
        <w:jc w:val="left"/>
        <w:rPr>
          <w:rFonts w:ascii="宋体" w:hAnsi="宋体"/>
          <w:szCs w:val="21"/>
        </w:rPr>
      </w:pPr>
      <w:r>
        <w:rPr>
          <w:rFonts w:hint="eastAsia" w:ascii="宋体" w:hAnsi="宋体"/>
          <w:szCs w:val="21"/>
        </w:rPr>
        <w:t>GB/T 27021.1</w:t>
      </w:r>
      <w:r>
        <w:rPr>
          <w:rFonts w:hint="eastAsia"/>
        </w:rPr>
        <w:t>—</w:t>
      </w:r>
      <w:r>
        <w:rPr>
          <w:rFonts w:hint="eastAsia" w:ascii="宋体" w:hAnsi="宋体"/>
          <w:szCs w:val="21"/>
        </w:rPr>
        <w:t>201</w:t>
      </w:r>
      <w:r>
        <w:rPr>
          <w:rFonts w:ascii="宋体" w:hAnsi="宋体"/>
          <w:szCs w:val="21"/>
        </w:rPr>
        <w:t>7</w:t>
      </w:r>
      <w:r>
        <w:rPr>
          <w:rFonts w:hint="eastAsia" w:ascii="宋体" w:hAnsi="宋体"/>
          <w:szCs w:val="21"/>
        </w:rPr>
        <w:t>中9.6.1的要求适用。</w:t>
      </w:r>
    </w:p>
    <w:p w14:paraId="5C5BC378">
      <w:pPr>
        <w:pStyle w:val="70"/>
        <w:numPr>
          <w:ilvl w:val="0"/>
          <w:numId w:val="0"/>
        </w:numPr>
        <w:spacing w:before="156" w:after="156"/>
        <w:rPr>
          <w:rFonts w:hAnsi="黑体"/>
        </w:rPr>
      </w:pPr>
      <w:r>
        <w:rPr>
          <w:rFonts w:hAnsi="黑体"/>
        </w:rPr>
        <w:t>9.6.2</w:t>
      </w:r>
      <w:r>
        <w:rPr>
          <w:rFonts w:hint="eastAsia" w:hAnsi="黑体"/>
        </w:rPr>
        <w:t>　监督活动</w:t>
      </w:r>
    </w:p>
    <w:p w14:paraId="6F76F6BF">
      <w:pPr>
        <w:jc w:val="left"/>
        <w:rPr>
          <w:rFonts w:ascii="宋体" w:hAnsi="宋体"/>
          <w:kern w:val="0"/>
          <w:szCs w:val="21"/>
          <w:lang w:val="de-DE"/>
        </w:rPr>
      </w:pPr>
      <w:r>
        <w:rPr>
          <w:rFonts w:hint="eastAsia" w:ascii="黑体" w:hAnsi="黑体" w:eastAsia="黑体"/>
          <w:kern w:val="0"/>
          <w:szCs w:val="21"/>
          <w:lang w:val="de-DE"/>
        </w:rPr>
        <w:t xml:space="preserve">9.6.2.1 </w:t>
      </w:r>
      <w:r>
        <w:rPr>
          <w:rFonts w:hint="eastAsia" w:ascii="宋体" w:hAnsi="宋体"/>
          <w:szCs w:val="21"/>
        </w:rPr>
        <w:t>GB/T 27021.1</w:t>
      </w:r>
      <w:r>
        <w:rPr>
          <w:rFonts w:hint="eastAsia"/>
        </w:rPr>
        <w:t>—</w:t>
      </w:r>
      <w:r>
        <w:rPr>
          <w:rFonts w:hint="eastAsia" w:ascii="宋体" w:hAnsi="宋体"/>
          <w:szCs w:val="21"/>
        </w:rPr>
        <w:t>201</w:t>
      </w:r>
      <w:r>
        <w:rPr>
          <w:rFonts w:ascii="宋体" w:hAnsi="宋体"/>
          <w:szCs w:val="21"/>
        </w:rPr>
        <w:t>7</w:t>
      </w:r>
      <w:r>
        <w:rPr>
          <w:rFonts w:hint="eastAsia" w:ascii="宋体" w:hAnsi="宋体"/>
          <w:szCs w:val="21"/>
        </w:rPr>
        <w:t>中9.6.2的要求适用。并且，9.6.2.2、9.6.2.3和9.6.2.4的要求和指南适用。</w:t>
      </w:r>
    </w:p>
    <w:p w14:paraId="7AC54697">
      <w:pPr>
        <w:widowControl/>
        <w:jc w:val="left"/>
        <w:outlineLvl w:val="4"/>
        <w:rPr>
          <w:rFonts w:ascii="宋体" w:hAnsi="宋体"/>
          <w:kern w:val="0"/>
          <w:szCs w:val="21"/>
          <w:lang w:val="de-DE"/>
        </w:rPr>
      </w:pPr>
      <w:r>
        <w:rPr>
          <w:rFonts w:hint="eastAsia" w:ascii="黑体" w:hAnsi="黑体" w:eastAsia="黑体"/>
          <w:kern w:val="0"/>
          <w:szCs w:val="21"/>
          <w:lang w:val="de-DE"/>
        </w:rPr>
        <w:t>9.6.2.</w:t>
      </w:r>
      <w:r>
        <w:rPr>
          <w:rFonts w:hint="eastAsia" w:ascii="黑体" w:hAnsi="黑体" w:eastAsia="黑体"/>
          <w:kern w:val="0"/>
          <w:szCs w:val="21"/>
        </w:rPr>
        <w:t>2</w:t>
      </w:r>
      <w:r>
        <w:rPr>
          <w:rFonts w:hint="eastAsia" w:ascii="宋体" w:hAnsi="宋体"/>
          <w:kern w:val="0"/>
          <w:szCs w:val="21"/>
          <w:lang w:val="de-DE"/>
        </w:rPr>
        <w:t xml:space="preserve"> 监督审核程序应</w:t>
      </w:r>
      <w:r>
        <w:rPr>
          <w:rFonts w:hint="eastAsia" w:ascii="宋体" w:hAnsi="宋体"/>
          <w:kern w:val="0"/>
          <w:szCs w:val="21"/>
        </w:rPr>
        <w:t>是</w:t>
      </w:r>
      <w:r>
        <w:rPr>
          <w:rFonts w:hint="eastAsia" w:ascii="宋体" w:hAnsi="宋体"/>
          <w:kern w:val="0"/>
          <w:szCs w:val="21"/>
          <w:lang w:val="de-DE"/>
        </w:rPr>
        <w:t>本文件中</w:t>
      </w:r>
      <w:r>
        <w:rPr>
          <w:rFonts w:hint="eastAsia" w:ascii="宋体" w:hAnsi="宋体"/>
          <w:kern w:val="0"/>
          <w:szCs w:val="21"/>
        </w:rPr>
        <w:t>客户ISMS认证审核程序的子集。</w:t>
      </w:r>
    </w:p>
    <w:p w14:paraId="0A376CFD">
      <w:pPr>
        <w:widowControl/>
        <w:autoSpaceDE w:val="0"/>
        <w:autoSpaceDN w:val="0"/>
        <w:ind w:firstLine="420" w:firstLineChars="200"/>
        <w:rPr>
          <w:rFonts w:ascii="宋体" w:hAnsi="宋体"/>
          <w:kern w:val="0"/>
          <w:szCs w:val="21"/>
        </w:rPr>
      </w:pPr>
      <w:r>
        <w:rPr>
          <w:rFonts w:hint="eastAsia" w:ascii="宋体" w:hAnsi="宋体"/>
          <w:kern w:val="0"/>
          <w:szCs w:val="21"/>
        </w:rPr>
        <w:t>监督的目的</w:t>
      </w:r>
      <w:r>
        <w:rPr>
          <w:rFonts w:hint="eastAsia" w:ascii="宋体" w:hAnsi="宋体"/>
          <w:kern w:val="0"/>
          <w:szCs w:val="21"/>
          <w:lang w:val="en-US" w:eastAsia="zh-CN"/>
        </w:rPr>
        <w:t>包括</w:t>
      </w:r>
      <w:r>
        <w:rPr>
          <w:rFonts w:hint="eastAsia" w:ascii="宋体" w:hAnsi="宋体"/>
          <w:kern w:val="0"/>
          <w:szCs w:val="21"/>
        </w:rPr>
        <w:t>验证</w:t>
      </w:r>
      <w:r>
        <w:rPr>
          <w:rFonts w:hint="eastAsia" w:ascii="宋体" w:hAnsi="宋体"/>
          <w:kern w:val="0"/>
          <w:szCs w:val="21"/>
          <w:lang w:val="en-US" w:eastAsia="zh-CN"/>
        </w:rPr>
        <w:t>获证</w:t>
      </w:r>
      <w:r>
        <w:rPr>
          <w:rFonts w:hint="eastAsia" w:ascii="宋体" w:hAnsi="宋体"/>
          <w:kern w:val="0"/>
          <w:szCs w:val="21"/>
          <w:lang w:val="de-DE"/>
        </w:rPr>
        <w:t>ISMS得到持</w:t>
      </w:r>
      <w:r>
        <w:rPr>
          <w:rFonts w:hint="eastAsia" w:ascii="宋体" w:hAnsi="宋体"/>
          <w:kern w:val="0"/>
          <w:szCs w:val="21"/>
        </w:rPr>
        <w:t>续实施、考虑由客户运作实践变化所引起的管理体系变化的影响</w:t>
      </w:r>
      <w:r>
        <w:rPr>
          <w:rFonts w:hint="eastAsia" w:ascii="宋体" w:hAnsi="宋体"/>
          <w:kern w:val="0"/>
          <w:szCs w:val="21"/>
          <w:lang w:val="en-US" w:eastAsia="zh-CN"/>
        </w:rPr>
        <w:t>和</w:t>
      </w:r>
      <w:r>
        <w:rPr>
          <w:rFonts w:hint="eastAsia" w:ascii="宋体" w:hAnsi="宋体"/>
          <w:kern w:val="0"/>
          <w:szCs w:val="21"/>
        </w:rPr>
        <w:t>确认与认证要求的持续符合。监督审核方案应至少包括：</w:t>
      </w:r>
    </w:p>
    <w:p w14:paraId="626DE712">
      <w:pPr>
        <w:widowControl/>
        <w:numPr>
          <w:ilvl w:val="0"/>
          <w:numId w:val="42"/>
        </w:numPr>
        <w:tabs>
          <w:tab w:val="clear" w:pos="927"/>
        </w:tabs>
        <w:ind w:left="840" w:leftChars="200" w:hanging="420" w:hangingChars="200"/>
        <w:rPr>
          <w:rFonts w:ascii="宋体" w:hAnsi="宋体"/>
          <w:kern w:val="0"/>
          <w:szCs w:val="21"/>
        </w:rPr>
      </w:pPr>
      <w:r>
        <w:rPr>
          <w:rFonts w:hint="eastAsia" w:ascii="宋体" w:hAnsi="宋体"/>
          <w:kern w:val="0"/>
          <w:szCs w:val="21"/>
          <w:lang w:val="en-US" w:eastAsia="zh-CN"/>
        </w:rPr>
        <w:t>ISMS维护</w:t>
      </w:r>
      <w:r>
        <w:rPr>
          <w:rFonts w:hint="eastAsia" w:ascii="宋体" w:hAnsi="宋体"/>
          <w:kern w:val="0"/>
          <w:szCs w:val="21"/>
        </w:rPr>
        <w:t>要素，如信息安全风险评估与控制的维护、</w:t>
      </w:r>
      <w:r>
        <w:rPr>
          <w:rFonts w:hint="eastAsia" w:ascii="宋体" w:hAnsi="宋体"/>
          <w:kern w:val="0"/>
          <w:szCs w:val="21"/>
          <w:lang w:val="de-DE"/>
        </w:rPr>
        <w:t>ISMS内部审核、管理</w:t>
      </w:r>
      <w:r>
        <w:rPr>
          <w:rFonts w:hint="eastAsia" w:ascii="宋体" w:hAnsi="宋体"/>
          <w:kern w:val="0"/>
          <w:szCs w:val="21"/>
        </w:rPr>
        <w:t>评审和纠正措施；</w:t>
      </w:r>
    </w:p>
    <w:p w14:paraId="43D88D6D">
      <w:pPr>
        <w:widowControl/>
        <w:numPr>
          <w:ilvl w:val="0"/>
          <w:numId w:val="42"/>
        </w:numPr>
        <w:tabs>
          <w:tab w:val="clear" w:pos="927"/>
        </w:tabs>
        <w:ind w:left="840" w:leftChars="200" w:hanging="420" w:hangingChars="200"/>
        <w:rPr>
          <w:rFonts w:ascii="宋体" w:hAnsi="宋体"/>
          <w:kern w:val="0"/>
          <w:szCs w:val="21"/>
        </w:rPr>
      </w:pPr>
      <w:r>
        <w:rPr>
          <w:rFonts w:ascii="宋体" w:hAnsi="宋体"/>
          <w:kern w:val="0"/>
          <w:szCs w:val="21"/>
          <w:lang w:val="de-DE"/>
        </w:rPr>
        <w:t>GB/T 22080</w:t>
      </w:r>
      <w:r>
        <w:rPr>
          <w:rFonts w:hint="eastAsia" w:ascii="宋体" w:hAnsi="宋体"/>
          <w:kern w:val="0"/>
          <w:szCs w:val="21"/>
          <w:lang w:val="de-DE"/>
        </w:rPr>
        <w:t>—202X</w:t>
      </w:r>
      <w:r>
        <w:rPr>
          <w:rFonts w:hint="eastAsia" w:ascii="宋体" w:hAnsi="宋体"/>
          <w:kern w:val="0"/>
          <w:szCs w:val="21"/>
          <w:lang w:val="en-US" w:eastAsia="zh-CN"/>
        </w:rPr>
        <w:t>要求的</w:t>
      </w:r>
      <w:r>
        <w:rPr>
          <w:rFonts w:hint="eastAsia" w:ascii="宋体" w:hAnsi="宋体"/>
          <w:kern w:val="0"/>
          <w:szCs w:val="21"/>
        </w:rPr>
        <w:t>与外部各方</w:t>
      </w:r>
      <w:r>
        <w:rPr>
          <w:rFonts w:hint="eastAsia" w:ascii="宋体" w:hAnsi="宋体"/>
          <w:kern w:val="0"/>
          <w:szCs w:val="21"/>
          <w:lang w:eastAsia="zh-CN"/>
        </w:rPr>
        <w:t>的</w:t>
      </w:r>
      <w:r>
        <w:rPr>
          <w:rFonts w:hint="eastAsia" w:ascii="宋体" w:hAnsi="宋体"/>
          <w:kern w:val="0"/>
          <w:szCs w:val="21"/>
        </w:rPr>
        <w:t>沟通</w:t>
      </w:r>
      <w:r>
        <w:rPr>
          <w:rFonts w:hint="eastAsia" w:ascii="宋体" w:hAnsi="宋体"/>
          <w:kern w:val="0"/>
          <w:szCs w:val="21"/>
          <w:lang w:eastAsia="zh-CN"/>
        </w:rPr>
        <w:t>，</w:t>
      </w:r>
      <w:r>
        <w:rPr>
          <w:rFonts w:hint="eastAsia" w:ascii="宋体" w:hAnsi="宋体"/>
          <w:kern w:val="0"/>
          <w:szCs w:val="21"/>
          <w:lang w:val="en-US" w:eastAsia="zh-CN"/>
        </w:rPr>
        <w:t>以及</w:t>
      </w:r>
      <w:r>
        <w:rPr>
          <w:rFonts w:hint="eastAsia" w:ascii="宋体" w:hAnsi="宋体"/>
          <w:kern w:val="0"/>
          <w:szCs w:val="21"/>
          <w:lang w:val="de-DE"/>
        </w:rPr>
        <w:t>认证所需</w:t>
      </w:r>
      <w:r>
        <w:rPr>
          <w:rFonts w:hint="eastAsia" w:ascii="宋体" w:hAnsi="宋体"/>
          <w:kern w:val="0"/>
          <w:szCs w:val="21"/>
        </w:rPr>
        <w:t>的其他文件</w:t>
      </w:r>
      <w:r>
        <w:rPr>
          <w:rFonts w:hint="eastAsia" w:ascii="宋体" w:hAnsi="宋体"/>
          <w:kern w:val="0"/>
          <w:szCs w:val="21"/>
          <w:lang w:eastAsia="zh-CN"/>
        </w:rPr>
        <w:t>。</w:t>
      </w:r>
    </w:p>
    <w:p w14:paraId="0EE9A317">
      <w:pPr>
        <w:widowControl/>
        <w:jc w:val="left"/>
        <w:outlineLvl w:val="4"/>
        <w:rPr>
          <w:rFonts w:ascii="宋体" w:hAnsi="宋体"/>
          <w:kern w:val="0"/>
          <w:szCs w:val="21"/>
          <w:lang w:val="de-DE"/>
        </w:rPr>
      </w:pPr>
      <w:r>
        <w:rPr>
          <w:rFonts w:hint="eastAsia" w:ascii="黑体" w:hAnsi="黑体" w:eastAsia="黑体"/>
          <w:kern w:val="0"/>
          <w:szCs w:val="21"/>
          <w:lang w:val="de-DE"/>
        </w:rPr>
        <w:t>9.6.2.</w:t>
      </w:r>
      <w:r>
        <w:rPr>
          <w:rFonts w:hint="eastAsia" w:ascii="黑体" w:hAnsi="黑体" w:eastAsia="黑体"/>
          <w:kern w:val="0"/>
          <w:szCs w:val="21"/>
        </w:rPr>
        <w:t>3</w:t>
      </w:r>
      <w:r>
        <w:rPr>
          <w:rFonts w:hint="eastAsia" w:ascii="宋体" w:hAnsi="宋体"/>
          <w:kern w:val="0"/>
          <w:szCs w:val="21"/>
          <w:lang w:val="de-DE"/>
        </w:rPr>
        <w:t xml:space="preserve"> 认证机构的每一次监督</w:t>
      </w:r>
      <w:r>
        <w:rPr>
          <w:rFonts w:hint="eastAsia" w:ascii="宋体" w:hAnsi="宋体"/>
          <w:kern w:val="0"/>
          <w:szCs w:val="21"/>
          <w:lang w:val="en-US" w:eastAsia="zh-CN"/>
        </w:rPr>
        <w:t>审核</w:t>
      </w:r>
      <w:r>
        <w:rPr>
          <w:rFonts w:hint="eastAsia" w:ascii="宋体" w:hAnsi="宋体"/>
          <w:kern w:val="0"/>
          <w:szCs w:val="21"/>
          <w:lang w:val="de-DE"/>
        </w:rPr>
        <w:t>应至少</w:t>
      </w:r>
      <w:r>
        <w:rPr>
          <w:rFonts w:hint="eastAsia" w:ascii="宋体" w:hAnsi="宋体"/>
          <w:kern w:val="0"/>
          <w:szCs w:val="21"/>
          <w:lang w:val="en-US" w:eastAsia="zh-CN"/>
        </w:rPr>
        <w:t>审核</w:t>
      </w:r>
      <w:r>
        <w:rPr>
          <w:rFonts w:hint="eastAsia" w:ascii="宋体" w:hAnsi="宋体"/>
          <w:kern w:val="0"/>
          <w:szCs w:val="21"/>
          <w:lang w:val="de-DE"/>
        </w:rPr>
        <w:t>以下方面：</w:t>
      </w:r>
    </w:p>
    <w:p w14:paraId="28663758">
      <w:pPr>
        <w:widowControl/>
        <w:numPr>
          <w:ilvl w:val="0"/>
          <w:numId w:val="43"/>
        </w:numPr>
        <w:ind w:left="840" w:leftChars="200" w:hanging="420" w:hangingChars="200"/>
        <w:rPr>
          <w:rFonts w:ascii="宋体" w:hAnsi="宋体"/>
          <w:kern w:val="0"/>
          <w:szCs w:val="21"/>
        </w:rPr>
      </w:pPr>
      <w:r>
        <w:rPr>
          <w:rFonts w:hint="eastAsia" w:ascii="宋体" w:hAnsi="宋体"/>
          <w:kern w:val="0"/>
          <w:szCs w:val="21"/>
        </w:rPr>
        <w:t>ISMS在实现客户信息安全方针的目标方面的有效性；</w:t>
      </w:r>
    </w:p>
    <w:p w14:paraId="4FCB709F">
      <w:pPr>
        <w:widowControl/>
        <w:numPr>
          <w:ilvl w:val="0"/>
          <w:numId w:val="43"/>
        </w:numPr>
        <w:ind w:left="840" w:leftChars="200" w:hanging="420" w:hangingChars="200"/>
        <w:rPr>
          <w:rFonts w:ascii="宋体" w:hAnsi="宋体"/>
          <w:kern w:val="0"/>
          <w:szCs w:val="21"/>
        </w:rPr>
      </w:pPr>
      <w:r>
        <w:rPr>
          <w:rFonts w:hint="eastAsia" w:ascii="宋体" w:hAnsi="宋体"/>
          <w:kern w:val="0"/>
          <w:szCs w:val="21"/>
        </w:rPr>
        <w:t>相关信息安全法律法规</w:t>
      </w:r>
      <w:r>
        <w:rPr>
          <w:rFonts w:hint="eastAsia" w:ascii="宋体" w:hAnsi="宋体"/>
          <w:kern w:val="0"/>
          <w:szCs w:val="21"/>
          <w:lang w:val="en-US" w:eastAsia="zh-CN"/>
        </w:rPr>
        <w:t>合规性</w:t>
      </w:r>
      <w:r>
        <w:rPr>
          <w:rFonts w:hint="eastAsia" w:ascii="宋体" w:hAnsi="宋体"/>
          <w:kern w:val="0"/>
          <w:szCs w:val="21"/>
        </w:rPr>
        <w:t>的定期</w:t>
      </w:r>
      <w:r>
        <w:rPr>
          <w:rFonts w:hint="eastAsia" w:ascii="宋体" w:hAnsi="宋体"/>
          <w:kern w:val="0"/>
          <w:szCs w:val="21"/>
          <w:lang w:val="en-US" w:eastAsia="zh-CN"/>
        </w:rPr>
        <w:t>评价和评审</w:t>
      </w:r>
      <w:r>
        <w:rPr>
          <w:rFonts w:hint="eastAsia" w:ascii="宋体" w:hAnsi="宋体"/>
          <w:kern w:val="0"/>
          <w:szCs w:val="21"/>
        </w:rPr>
        <w:t>规程的运行情况；</w:t>
      </w:r>
    </w:p>
    <w:p w14:paraId="2A3DF3A5">
      <w:pPr>
        <w:widowControl/>
        <w:numPr>
          <w:ilvl w:val="0"/>
          <w:numId w:val="43"/>
        </w:numPr>
        <w:ind w:left="840" w:leftChars="200" w:hanging="420" w:hangingChars="200"/>
        <w:rPr>
          <w:rFonts w:ascii="宋体" w:hAnsi="宋体"/>
          <w:kern w:val="0"/>
          <w:szCs w:val="21"/>
        </w:rPr>
      </w:pPr>
      <w:r>
        <w:rPr>
          <w:rFonts w:hint="eastAsia" w:ascii="宋体" w:hAnsi="宋体"/>
          <w:kern w:val="0"/>
          <w:szCs w:val="21"/>
        </w:rPr>
        <w:t>所确定的控制的变更，及其引起的适用性声明变更；</w:t>
      </w:r>
    </w:p>
    <w:p w14:paraId="0DEE0059">
      <w:pPr>
        <w:widowControl/>
        <w:numPr>
          <w:ilvl w:val="0"/>
          <w:numId w:val="43"/>
        </w:numPr>
        <w:ind w:left="840" w:leftChars="200" w:hanging="420" w:hangingChars="200"/>
        <w:rPr>
          <w:rFonts w:ascii="宋体" w:hAnsi="宋体"/>
          <w:kern w:val="0"/>
          <w:szCs w:val="21"/>
        </w:rPr>
      </w:pPr>
      <w:r>
        <w:rPr>
          <w:rFonts w:hint="eastAsia" w:ascii="宋体" w:hAnsi="宋体"/>
          <w:kern w:val="0"/>
          <w:szCs w:val="21"/>
        </w:rPr>
        <w:t>审核方案中所述控制的实现和有效性。</w:t>
      </w:r>
    </w:p>
    <w:p w14:paraId="042A7364">
      <w:pPr>
        <w:widowControl/>
        <w:jc w:val="left"/>
        <w:outlineLvl w:val="4"/>
        <w:rPr>
          <w:rFonts w:ascii="宋体" w:hAnsi="宋体"/>
          <w:kern w:val="0"/>
          <w:szCs w:val="21"/>
        </w:rPr>
      </w:pPr>
      <w:r>
        <w:rPr>
          <w:rFonts w:hint="eastAsia" w:ascii="黑体" w:hAnsi="黑体" w:eastAsia="黑体"/>
          <w:kern w:val="0"/>
          <w:szCs w:val="21"/>
          <w:lang w:val="de-DE"/>
        </w:rPr>
        <w:t>9.6.2.</w:t>
      </w:r>
      <w:r>
        <w:rPr>
          <w:rFonts w:hint="eastAsia" w:ascii="黑体" w:hAnsi="黑体" w:eastAsia="黑体"/>
          <w:kern w:val="0"/>
          <w:szCs w:val="21"/>
        </w:rPr>
        <w:t>4</w:t>
      </w:r>
      <w:r>
        <w:rPr>
          <w:rFonts w:hint="eastAsia" w:ascii="宋体" w:hAnsi="宋体"/>
          <w:kern w:val="0"/>
          <w:szCs w:val="21"/>
          <w:lang w:val="de-DE"/>
        </w:rPr>
        <w:t xml:space="preserve"> </w:t>
      </w:r>
      <w:r>
        <w:rPr>
          <w:rFonts w:hint="eastAsia" w:ascii="宋体" w:hAnsi="宋体"/>
          <w:kern w:val="0"/>
          <w:szCs w:val="21"/>
        </w:rPr>
        <w:t>认证机构应能调整监督方案，以反映与风险相关的信息安全问题及其对客户的影响，并说明监督方案的合理性。</w:t>
      </w:r>
    </w:p>
    <w:p w14:paraId="65BB91FB">
      <w:pPr>
        <w:widowControl/>
        <w:rPr>
          <w:rFonts w:ascii="宋体" w:hAnsi="宋体"/>
          <w:kern w:val="0"/>
          <w:szCs w:val="21"/>
        </w:rPr>
      </w:pPr>
      <w:r>
        <w:rPr>
          <w:rFonts w:hint="eastAsia" w:ascii="宋体" w:hAnsi="宋体"/>
          <w:kern w:val="0"/>
          <w:szCs w:val="21"/>
        </w:rPr>
        <w:t xml:space="preserve">    监督审核可以与其他管理体系审核相结合。报告应清晰地指出与每个管理体系相关的方面。</w:t>
      </w:r>
    </w:p>
    <w:p w14:paraId="345B460F">
      <w:pPr>
        <w:widowControl/>
        <w:autoSpaceDE w:val="0"/>
        <w:autoSpaceDN w:val="0"/>
        <w:ind w:firstLine="420" w:firstLineChars="200"/>
        <w:rPr>
          <w:rFonts w:ascii="宋体" w:hAnsi="宋体"/>
          <w:kern w:val="0"/>
          <w:szCs w:val="21"/>
        </w:rPr>
      </w:pPr>
      <w:r>
        <w:rPr>
          <w:rFonts w:hint="eastAsia" w:ascii="宋体" w:hAnsi="宋体"/>
          <w:kern w:val="0"/>
          <w:szCs w:val="21"/>
        </w:rPr>
        <w:t>在监督审核过程中，认证机构应检查客户提交给认证机构的申诉和投诉记录。当发现任何不符合或不满足认证要求时，认证机构应检查客户是否调查了自身的ISMS和规程，并采取了适当的纠正措施。</w:t>
      </w:r>
    </w:p>
    <w:p w14:paraId="096D1866">
      <w:pPr>
        <w:widowControl/>
        <w:autoSpaceDE w:val="0"/>
        <w:autoSpaceDN w:val="0"/>
        <w:ind w:firstLine="420" w:firstLineChars="200"/>
        <w:rPr>
          <w:rFonts w:ascii="宋体" w:hAnsi="宋体"/>
          <w:szCs w:val="21"/>
        </w:rPr>
      </w:pPr>
      <w:r>
        <w:rPr>
          <w:rFonts w:hint="eastAsia" w:ascii="宋体" w:hAnsi="宋体"/>
          <w:kern w:val="0"/>
          <w:szCs w:val="21"/>
        </w:rPr>
        <w:t>特别是，监督报告应包括有关消除以往</w:t>
      </w:r>
      <w:r>
        <w:rPr>
          <w:rFonts w:hint="eastAsia" w:ascii="宋体" w:hAnsi="宋体"/>
          <w:kern w:val="0"/>
          <w:szCs w:val="21"/>
          <w:lang w:val="en-US" w:eastAsia="zh-CN"/>
        </w:rPr>
        <w:t>发现</w:t>
      </w:r>
      <w:r>
        <w:rPr>
          <w:rFonts w:hint="eastAsia" w:ascii="宋体" w:hAnsi="宋体"/>
          <w:kern w:val="0"/>
          <w:szCs w:val="21"/>
        </w:rPr>
        <w:t>的不符合、适用性声明的版本和上次审核后发生的重大变更的信息。监督审核报告应至少覆盖</w:t>
      </w:r>
      <w:r>
        <w:rPr>
          <w:rFonts w:hint="eastAsia" w:ascii="宋体" w:hAnsi="宋体"/>
          <w:kern w:val="0"/>
          <w:szCs w:val="21"/>
          <w:lang w:val="de-DE"/>
        </w:rPr>
        <w:t>9.6.2.</w:t>
      </w:r>
      <w:r>
        <w:rPr>
          <w:rFonts w:hint="eastAsia" w:ascii="宋体" w:hAnsi="宋体"/>
          <w:kern w:val="0"/>
          <w:szCs w:val="21"/>
        </w:rPr>
        <w:t>2</w:t>
      </w:r>
      <w:r>
        <w:rPr>
          <w:rFonts w:hint="eastAsia" w:ascii="宋体" w:hAnsi="宋体"/>
          <w:kern w:val="0"/>
          <w:szCs w:val="21"/>
          <w:lang w:val="de-DE"/>
        </w:rPr>
        <w:t>和9.6.2.</w:t>
      </w:r>
      <w:r>
        <w:rPr>
          <w:rFonts w:hint="eastAsia" w:ascii="宋体" w:hAnsi="宋体"/>
          <w:kern w:val="0"/>
          <w:szCs w:val="21"/>
          <w:lang w:val="en-US" w:eastAsia="zh-CN"/>
        </w:rPr>
        <w:t>3</w:t>
      </w:r>
      <w:r>
        <w:rPr>
          <w:rFonts w:hint="eastAsia" w:ascii="宋体" w:hAnsi="宋体"/>
          <w:kern w:val="0"/>
          <w:szCs w:val="21"/>
          <w:lang w:val="de-DE"/>
        </w:rPr>
        <w:t>的</w:t>
      </w:r>
      <w:r>
        <w:rPr>
          <w:rFonts w:hint="eastAsia" w:ascii="宋体" w:hAnsi="宋体"/>
          <w:kern w:val="0"/>
          <w:szCs w:val="21"/>
        </w:rPr>
        <w:t>全部</w:t>
      </w:r>
      <w:r>
        <w:rPr>
          <w:rFonts w:hint="eastAsia" w:ascii="宋体" w:hAnsi="宋体"/>
          <w:kern w:val="0"/>
          <w:szCs w:val="21"/>
          <w:lang w:val="de-DE"/>
        </w:rPr>
        <w:t>要求</w:t>
      </w:r>
      <w:r>
        <w:rPr>
          <w:rFonts w:hint="eastAsia" w:ascii="宋体" w:hAnsi="宋体"/>
          <w:kern w:val="0"/>
          <w:szCs w:val="21"/>
        </w:rPr>
        <w:t>。</w:t>
      </w:r>
    </w:p>
    <w:p w14:paraId="30A6CD28">
      <w:pPr>
        <w:pStyle w:val="70"/>
        <w:numPr>
          <w:ilvl w:val="0"/>
          <w:numId w:val="0"/>
        </w:numPr>
        <w:spacing w:before="156" w:after="156"/>
        <w:rPr>
          <w:rFonts w:hAnsi="黑体"/>
        </w:rPr>
      </w:pPr>
      <w:r>
        <w:rPr>
          <w:rFonts w:hAnsi="黑体"/>
        </w:rPr>
        <w:t>9.6.3</w:t>
      </w:r>
      <w:r>
        <w:rPr>
          <w:rFonts w:hint="eastAsia" w:hAnsi="黑体"/>
        </w:rPr>
        <w:t>　再认证</w:t>
      </w:r>
    </w:p>
    <w:p w14:paraId="56CBC0DF">
      <w:pPr>
        <w:pStyle w:val="70"/>
        <w:numPr>
          <w:ilvl w:val="0"/>
          <w:numId w:val="0"/>
        </w:numPr>
        <w:spacing w:before="156" w:after="156"/>
        <w:rPr>
          <w:rFonts w:hAnsi="黑体"/>
        </w:rPr>
      </w:pPr>
      <w:r>
        <w:rPr>
          <w:rFonts w:hint="eastAsia" w:hAnsi="黑体"/>
        </w:rPr>
        <w:t>9.6.3.1</w:t>
      </w:r>
      <w:r>
        <w:rPr>
          <w:rFonts w:hint="eastAsia" w:hAnsi="黑体"/>
          <w:lang w:val="en-US" w:eastAsia="zh-CN"/>
        </w:rPr>
        <w:t xml:space="preserve"> </w:t>
      </w:r>
      <w:r>
        <w:rPr>
          <w:rFonts w:hint="eastAsia" w:hAnsi="黑体"/>
        </w:rPr>
        <w:t xml:space="preserve"> 总则</w:t>
      </w:r>
    </w:p>
    <w:p w14:paraId="77EF5A85">
      <w:pPr>
        <w:ind w:firstLine="420" w:firstLineChars="200"/>
        <w:jc w:val="left"/>
        <w:rPr>
          <w:rFonts w:ascii="宋体" w:hAnsi="宋体"/>
          <w:szCs w:val="21"/>
        </w:rPr>
      </w:pPr>
      <w:r>
        <w:rPr>
          <w:rFonts w:hint="eastAsia" w:ascii="宋体" w:hAnsi="宋体"/>
          <w:szCs w:val="21"/>
        </w:rPr>
        <w:t>GB/T 27021.1</w:t>
      </w:r>
      <w:r>
        <w:rPr>
          <w:rFonts w:hint="eastAsia"/>
        </w:rPr>
        <w:t>—</w:t>
      </w:r>
      <w:r>
        <w:rPr>
          <w:rFonts w:hint="eastAsia" w:ascii="宋体" w:hAnsi="宋体"/>
          <w:szCs w:val="21"/>
        </w:rPr>
        <w:t>201</w:t>
      </w:r>
      <w:r>
        <w:rPr>
          <w:rFonts w:ascii="宋体" w:hAnsi="宋体"/>
          <w:szCs w:val="21"/>
        </w:rPr>
        <w:t>7</w:t>
      </w:r>
      <w:r>
        <w:rPr>
          <w:rFonts w:hint="eastAsia" w:ascii="宋体" w:hAnsi="宋体"/>
          <w:szCs w:val="21"/>
        </w:rPr>
        <w:t>中9.6.3的要求适用。并且，9.6.3.2的要求和指南适用。</w:t>
      </w:r>
    </w:p>
    <w:p w14:paraId="79E06509">
      <w:pPr>
        <w:pStyle w:val="70"/>
        <w:numPr>
          <w:ilvl w:val="0"/>
          <w:numId w:val="0"/>
        </w:numPr>
        <w:spacing w:before="156" w:after="156"/>
        <w:rPr>
          <w:rFonts w:hAnsi="黑体"/>
        </w:rPr>
      </w:pPr>
      <w:r>
        <w:rPr>
          <w:rFonts w:hint="eastAsia" w:hAnsi="黑体"/>
        </w:rPr>
        <w:t xml:space="preserve">9.6.3.1 </w:t>
      </w:r>
      <w:r>
        <w:rPr>
          <w:rFonts w:hint="eastAsia" w:hAnsi="黑体"/>
          <w:lang w:val="en-US" w:eastAsia="zh-CN"/>
        </w:rPr>
        <w:t xml:space="preserve"> </w:t>
      </w:r>
      <w:r>
        <w:rPr>
          <w:rFonts w:hint="eastAsia" w:hAnsi="黑体"/>
        </w:rPr>
        <w:t>再认证审核</w:t>
      </w:r>
    </w:p>
    <w:p w14:paraId="1A7097A0">
      <w:pPr>
        <w:ind w:right="-334" w:rightChars="-159" w:firstLine="420" w:firstLineChars="200"/>
        <w:rPr>
          <w:rFonts w:ascii="宋体" w:hAnsi="宋体"/>
          <w:kern w:val="0"/>
          <w:szCs w:val="21"/>
        </w:rPr>
      </w:pPr>
      <w:r>
        <w:rPr>
          <w:rFonts w:hint="eastAsia" w:ascii="宋体" w:hAnsi="宋体"/>
          <w:kern w:val="0"/>
          <w:szCs w:val="21"/>
        </w:rPr>
        <w:t>再认证审核程序应是本文件中客户ISMS认证审核程序的子集。</w:t>
      </w:r>
    </w:p>
    <w:p w14:paraId="2FBD289F">
      <w:pPr>
        <w:ind w:right="-334" w:rightChars="-159" w:firstLine="420" w:firstLineChars="200"/>
        <w:rPr>
          <w:rFonts w:ascii="宋体" w:hAnsi="宋体"/>
          <w:kern w:val="0"/>
          <w:szCs w:val="21"/>
        </w:rPr>
      </w:pPr>
      <w:r>
        <w:rPr>
          <w:rFonts w:hint="eastAsia" w:ascii="宋体" w:hAnsi="宋体"/>
          <w:kern w:val="0"/>
          <w:szCs w:val="21"/>
          <w:lang w:val="en-US" w:eastAsia="zh-CN"/>
        </w:rPr>
        <w:t>实施</w:t>
      </w:r>
      <w:r>
        <w:rPr>
          <w:rFonts w:hint="eastAsia" w:ascii="宋体" w:hAnsi="宋体"/>
          <w:kern w:val="0"/>
          <w:szCs w:val="21"/>
        </w:rPr>
        <w:t>纠正措施的</w:t>
      </w:r>
      <w:r>
        <w:rPr>
          <w:rFonts w:hint="eastAsia" w:ascii="宋体" w:hAnsi="宋体"/>
          <w:kern w:val="0"/>
          <w:szCs w:val="21"/>
          <w:lang w:val="en-US" w:eastAsia="zh-CN"/>
        </w:rPr>
        <w:t>时限</w:t>
      </w:r>
      <w:r>
        <w:rPr>
          <w:rFonts w:hint="eastAsia" w:ascii="宋体" w:hAnsi="宋体"/>
          <w:kern w:val="0"/>
          <w:szCs w:val="21"/>
        </w:rPr>
        <w:t>，应与不符合的严重程度和相关的信息安全风险相一致。</w:t>
      </w:r>
    </w:p>
    <w:p w14:paraId="19DDCFFC">
      <w:pPr>
        <w:pStyle w:val="70"/>
        <w:numPr>
          <w:ilvl w:val="0"/>
          <w:numId w:val="0"/>
        </w:numPr>
        <w:spacing w:before="156" w:after="156"/>
        <w:rPr>
          <w:rFonts w:hAnsi="黑体"/>
        </w:rPr>
      </w:pPr>
      <w:r>
        <w:rPr>
          <w:rFonts w:hAnsi="黑体"/>
        </w:rPr>
        <w:t>9.6.4</w:t>
      </w:r>
      <w:r>
        <w:rPr>
          <w:rFonts w:hint="eastAsia" w:hAnsi="黑体"/>
        </w:rPr>
        <w:t>　特殊审核</w:t>
      </w:r>
    </w:p>
    <w:p w14:paraId="073A6949">
      <w:pPr>
        <w:ind w:firstLine="420" w:firstLineChars="200"/>
        <w:jc w:val="left"/>
        <w:rPr>
          <w:rFonts w:hAnsi="宋体"/>
          <w:szCs w:val="21"/>
        </w:rPr>
      </w:pPr>
      <w:r>
        <w:rPr>
          <w:rFonts w:hint="eastAsia" w:ascii="宋体" w:hAnsi="宋体"/>
          <w:szCs w:val="21"/>
        </w:rPr>
        <w:t>GB/T 27021.1</w:t>
      </w:r>
      <w:r>
        <w:rPr>
          <w:rFonts w:hint="eastAsia"/>
        </w:rPr>
        <w:t>—</w:t>
      </w:r>
      <w:r>
        <w:rPr>
          <w:rFonts w:hint="eastAsia" w:ascii="宋体" w:hAnsi="宋体"/>
          <w:szCs w:val="21"/>
        </w:rPr>
        <w:t>201</w:t>
      </w:r>
      <w:r>
        <w:rPr>
          <w:rFonts w:ascii="宋体" w:hAnsi="宋体"/>
          <w:szCs w:val="21"/>
        </w:rPr>
        <w:t>7</w:t>
      </w:r>
      <w:r>
        <w:rPr>
          <w:rFonts w:hint="eastAsia" w:ascii="宋体" w:hAnsi="宋体"/>
          <w:szCs w:val="21"/>
        </w:rPr>
        <w:t>中9.6.4的要求适用。</w:t>
      </w:r>
    </w:p>
    <w:p w14:paraId="54C131E4">
      <w:pPr>
        <w:pStyle w:val="70"/>
        <w:numPr>
          <w:ilvl w:val="0"/>
          <w:numId w:val="0"/>
        </w:numPr>
        <w:spacing w:before="156" w:after="156"/>
        <w:rPr>
          <w:rFonts w:hAnsi="黑体"/>
        </w:rPr>
      </w:pPr>
      <w:r>
        <w:rPr>
          <w:rFonts w:hAnsi="黑体"/>
        </w:rPr>
        <w:t>9.6.5</w:t>
      </w:r>
      <w:r>
        <w:rPr>
          <w:rFonts w:hint="eastAsia" w:hAnsi="黑体"/>
        </w:rPr>
        <w:t>　暂停、撤销或缩小认证范围</w:t>
      </w:r>
    </w:p>
    <w:p w14:paraId="768DE18D">
      <w:pPr>
        <w:ind w:firstLine="420" w:firstLineChars="200"/>
        <w:jc w:val="left"/>
        <w:rPr>
          <w:rFonts w:ascii="宋体" w:hAnsi="宋体"/>
          <w:szCs w:val="21"/>
        </w:rPr>
      </w:pPr>
      <w:r>
        <w:rPr>
          <w:rFonts w:hint="eastAsia" w:ascii="宋体" w:hAnsi="宋体"/>
          <w:szCs w:val="21"/>
        </w:rPr>
        <w:t>GB/T 27021.1</w:t>
      </w:r>
      <w:r>
        <w:rPr>
          <w:rFonts w:hint="eastAsia"/>
        </w:rPr>
        <w:t>—</w:t>
      </w:r>
      <w:r>
        <w:rPr>
          <w:rFonts w:hint="eastAsia" w:ascii="宋体" w:hAnsi="宋体"/>
          <w:szCs w:val="21"/>
        </w:rPr>
        <w:t>201</w:t>
      </w:r>
      <w:r>
        <w:rPr>
          <w:rFonts w:ascii="宋体" w:hAnsi="宋体"/>
          <w:szCs w:val="21"/>
        </w:rPr>
        <w:t>7</w:t>
      </w:r>
      <w:r>
        <w:rPr>
          <w:rFonts w:hint="eastAsia" w:ascii="宋体" w:hAnsi="宋体"/>
          <w:szCs w:val="21"/>
        </w:rPr>
        <w:t>中9.6.5的要求适用。</w:t>
      </w:r>
    </w:p>
    <w:p w14:paraId="4501486A">
      <w:pPr>
        <w:pStyle w:val="66"/>
        <w:numPr>
          <w:ilvl w:val="2"/>
          <w:numId w:val="19"/>
        </w:numPr>
        <w:spacing w:before="156" w:after="156"/>
        <w:rPr>
          <w:rFonts w:hAnsi="黑体"/>
        </w:rPr>
      </w:pPr>
      <w:bookmarkStart w:id="287" w:name="_Toc434010475"/>
      <w:bookmarkStart w:id="288" w:name="_Toc496168581"/>
      <w:bookmarkStart w:id="289" w:name="_Toc2394"/>
      <w:bookmarkStart w:id="290" w:name="_Toc31515"/>
      <w:r>
        <w:rPr>
          <w:rFonts w:hint="eastAsia" w:hAnsi="黑体"/>
        </w:rPr>
        <w:t>申诉</w:t>
      </w:r>
      <w:bookmarkEnd w:id="287"/>
      <w:bookmarkEnd w:id="288"/>
      <w:bookmarkEnd w:id="289"/>
      <w:bookmarkEnd w:id="290"/>
    </w:p>
    <w:p w14:paraId="2D1DDC56">
      <w:pPr>
        <w:ind w:firstLine="420" w:firstLineChars="200"/>
        <w:jc w:val="left"/>
        <w:rPr>
          <w:rFonts w:ascii="宋体" w:hAnsi="宋体"/>
          <w:szCs w:val="21"/>
        </w:rPr>
      </w:pPr>
      <w:r>
        <w:rPr>
          <w:rFonts w:hint="eastAsia" w:ascii="宋体" w:hAnsi="宋体"/>
          <w:szCs w:val="21"/>
        </w:rPr>
        <w:t>GB/T 27021.1</w:t>
      </w:r>
      <w:r>
        <w:rPr>
          <w:rFonts w:hint="eastAsia"/>
        </w:rPr>
        <w:t>—</w:t>
      </w:r>
      <w:r>
        <w:rPr>
          <w:rFonts w:hint="eastAsia" w:ascii="宋体" w:hAnsi="宋体"/>
          <w:szCs w:val="21"/>
        </w:rPr>
        <w:t>201</w:t>
      </w:r>
      <w:r>
        <w:rPr>
          <w:rFonts w:ascii="宋体" w:hAnsi="宋体"/>
          <w:szCs w:val="21"/>
        </w:rPr>
        <w:t>7</w:t>
      </w:r>
      <w:r>
        <w:rPr>
          <w:rFonts w:hint="eastAsia" w:ascii="宋体" w:hAnsi="宋体"/>
          <w:szCs w:val="21"/>
        </w:rPr>
        <w:t>中9.7的要求适用。</w:t>
      </w:r>
    </w:p>
    <w:p w14:paraId="014384EA">
      <w:pPr>
        <w:pStyle w:val="66"/>
        <w:numPr>
          <w:ilvl w:val="2"/>
          <w:numId w:val="19"/>
        </w:numPr>
        <w:spacing w:before="156" w:after="156"/>
        <w:rPr>
          <w:rFonts w:hAnsi="黑体"/>
        </w:rPr>
      </w:pPr>
      <w:bookmarkStart w:id="291" w:name="_Toc434010476"/>
      <w:bookmarkStart w:id="292" w:name="_Toc17665"/>
      <w:bookmarkStart w:id="293" w:name="_Toc496168582"/>
      <w:bookmarkStart w:id="294" w:name="_Toc25040"/>
      <w:r>
        <w:rPr>
          <w:rFonts w:hint="eastAsia" w:hAnsi="黑体"/>
        </w:rPr>
        <w:t>投诉</w:t>
      </w:r>
      <w:bookmarkEnd w:id="291"/>
      <w:bookmarkEnd w:id="292"/>
      <w:bookmarkEnd w:id="293"/>
      <w:bookmarkEnd w:id="294"/>
    </w:p>
    <w:p w14:paraId="3FC65E78">
      <w:pPr>
        <w:pStyle w:val="70"/>
        <w:numPr>
          <w:ilvl w:val="0"/>
          <w:numId w:val="0"/>
        </w:numPr>
        <w:spacing w:before="156" w:after="156"/>
        <w:rPr>
          <w:rFonts w:hAnsi="黑体"/>
        </w:rPr>
      </w:pPr>
      <w:r>
        <w:rPr>
          <w:rFonts w:hint="eastAsia" w:hAnsi="黑体"/>
        </w:rPr>
        <w:t>9.8.1</w:t>
      </w:r>
      <w:r>
        <w:rPr>
          <w:rFonts w:hint="eastAsia" w:hAnsi="黑体"/>
          <w:lang w:val="en-US" w:eastAsia="zh-CN"/>
        </w:rPr>
        <w:t xml:space="preserve"> </w:t>
      </w:r>
      <w:r>
        <w:rPr>
          <w:rFonts w:hint="eastAsia" w:hAnsi="黑体"/>
        </w:rPr>
        <w:t xml:space="preserve"> 总则</w:t>
      </w:r>
    </w:p>
    <w:p w14:paraId="1018B2B2">
      <w:pPr>
        <w:ind w:firstLine="420" w:firstLineChars="200"/>
        <w:jc w:val="left"/>
        <w:rPr>
          <w:rFonts w:ascii="宋体" w:hAnsi="宋体"/>
          <w:szCs w:val="21"/>
        </w:rPr>
      </w:pPr>
      <w:r>
        <w:rPr>
          <w:rFonts w:hint="eastAsia" w:ascii="宋体" w:hAnsi="宋体"/>
          <w:szCs w:val="21"/>
        </w:rPr>
        <w:t>GB/T 27021.1</w:t>
      </w:r>
      <w:r>
        <w:rPr>
          <w:rFonts w:hint="eastAsia"/>
        </w:rPr>
        <w:t>—</w:t>
      </w:r>
      <w:r>
        <w:rPr>
          <w:rFonts w:hint="eastAsia" w:ascii="宋体" w:hAnsi="宋体"/>
          <w:szCs w:val="21"/>
        </w:rPr>
        <w:t>201</w:t>
      </w:r>
      <w:r>
        <w:rPr>
          <w:rFonts w:ascii="宋体" w:hAnsi="宋体"/>
          <w:szCs w:val="21"/>
        </w:rPr>
        <w:t>7</w:t>
      </w:r>
      <w:r>
        <w:rPr>
          <w:rFonts w:hint="eastAsia" w:ascii="宋体" w:hAnsi="宋体"/>
          <w:szCs w:val="21"/>
        </w:rPr>
        <w:t>中9.8的要求适用。并且，9.8.2的要求和指南适用。</w:t>
      </w:r>
    </w:p>
    <w:p w14:paraId="5B26AB07">
      <w:pPr>
        <w:pStyle w:val="70"/>
        <w:numPr>
          <w:ilvl w:val="0"/>
          <w:numId w:val="0"/>
        </w:numPr>
        <w:spacing w:before="156" w:after="156"/>
        <w:rPr>
          <w:rFonts w:hAnsi="黑体"/>
        </w:rPr>
      </w:pPr>
      <w:r>
        <w:rPr>
          <w:rFonts w:hint="eastAsia" w:hAnsi="黑体"/>
        </w:rPr>
        <w:t>9.8.2 投诉</w:t>
      </w:r>
    </w:p>
    <w:p w14:paraId="03313C7D">
      <w:pPr>
        <w:pStyle w:val="36"/>
        <w:rPr>
          <w:rFonts w:hAnsi="宋体"/>
          <w:szCs w:val="21"/>
        </w:rPr>
      </w:pPr>
      <w:r>
        <w:rPr>
          <w:rFonts w:hint="eastAsia" w:hAnsi="宋体"/>
          <w:szCs w:val="21"/>
        </w:rPr>
        <w:t>投诉意味着一个潜在事件，表明可能存在不符合。</w:t>
      </w:r>
    </w:p>
    <w:p w14:paraId="60B421C5">
      <w:pPr>
        <w:pStyle w:val="66"/>
        <w:numPr>
          <w:ilvl w:val="2"/>
          <w:numId w:val="19"/>
        </w:numPr>
        <w:spacing w:before="156" w:after="156"/>
        <w:rPr>
          <w:rFonts w:hAnsi="黑体"/>
        </w:rPr>
      </w:pPr>
      <w:bookmarkStart w:id="295" w:name="_Toc24079"/>
      <w:bookmarkStart w:id="296" w:name="_Toc496168583"/>
      <w:bookmarkStart w:id="297" w:name="_Toc434010477"/>
      <w:bookmarkStart w:id="298" w:name="_Toc27092"/>
      <w:r>
        <w:rPr>
          <w:rFonts w:hint="eastAsia" w:hAnsi="黑体"/>
        </w:rPr>
        <w:t>客户的记录</w:t>
      </w:r>
      <w:bookmarkEnd w:id="295"/>
      <w:bookmarkEnd w:id="296"/>
      <w:bookmarkEnd w:id="297"/>
      <w:bookmarkEnd w:id="298"/>
    </w:p>
    <w:p w14:paraId="466C821F">
      <w:pPr>
        <w:ind w:firstLine="420" w:firstLineChars="200"/>
        <w:jc w:val="left"/>
        <w:rPr>
          <w:rFonts w:ascii="宋体" w:hAnsi="宋体"/>
          <w:szCs w:val="21"/>
        </w:rPr>
      </w:pPr>
      <w:r>
        <w:rPr>
          <w:rFonts w:hint="eastAsia" w:ascii="宋体" w:hAnsi="宋体"/>
          <w:szCs w:val="21"/>
        </w:rPr>
        <w:t>GB/T 27021.1</w:t>
      </w:r>
      <w:r>
        <w:rPr>
          <w:rFonts w:hint="eastAsia"/>
        </w:rPr>
        <w:t>—</w:t>
      </w:r>
      <w:r>
        <w:rPr>
          <w:rFonts w:hint="eastAsia" w:ascii="宋体" w:hAnsi="宋体"/>
          <w:szCs w:val="21"/>
        </w:rPr>
        <w:t>201</w:t>
      </w:r>
      <w:r>
        <w:rPr>
          <w:rFonts w:ascii="宋体" w:hAnsi="宋体"/>
          <w:szCs w:val="21"/>
        </w:rPr>
        <w:t>7</w:t>
      </w:r>
      <w:r>
        <w:rPr>
          <w:rFonts w:hint="eastAsia" w:ascii="宋体" w:hAnsi="宋体"/>
          <w:szCs w:val="21"/>
        </w:rPr>
        <w:t>中9.9的要求适用。</w:t>
      </w:r>
    </w:p>
    <w:p w14:paraId="6EC01B84">
      <w:pPr>
        <w:pStyle w:val="69"/>
        <w:numPr>
          <w:ilvl w:val="1"/>
          <w:numId w:val="19"/>
        </w:numPr>
        <w:spacing w:before="312" w:after="312"/>
        <w:ind w:left="0"/>
      </w:pPr>
      <w:bookmarkStart w:id="299" w:name="_Toc19180"/>
      <w:bookmarkStart w:id="300" w:name="_Toc434010478"/>
      <w:bookmarkStart w:id="301" w:name="_Toc496168584"/>
      <w:bookmarkStart w:id="302" w:name="_Toc27187"/>
      <w:r>
        <w:rPr>
          <w:rFonts w:hint="eastAsia"/>
        </w:rPr>
        <w:t>认证机构的管理体系要求</w:t>
      </w:r>
      <w:bookmarkEnd w:id="299"/>
      <w:bookmarkEnd w:id="300"/>
      <w:bookmarkEnd w:id="301"/>
      <w:bookmarkEnd w:id="302"/>
    </w:p>
    <w:p w14:paraId="6181E5FD">
      <w:pPr>
        <w:pStyle w:val="66"/>
        <w:numPr>
          <w:ilvl w:val="2"/>
          <w:numId w:val="19"/>
        </w:numPr>
        <w:spacing w:before="156" w:after="156"/>
        <w:rPr>
          <w:rFonts w:hAnsi="黑体"/>
        </w:rPr>
      </w:pPr>
      <w:bookmarkStart w:id="303" w:name="_Toc31229"/>
      <w:bookmarkStart w:id="304" w:name="_Toc434010479"/>
      <w:bookmarkStart w:id="305" w:name="_Toc18297"/>
      <w:bookmarkStart w:id="306" w:name="_Toc496168585"/>
      <w:r>
        <w:rPr>
          <w:rFonts w:hint="eastAsia" w:hAnsi="黑体"/>
        </w:rPr>
        <w:t>可选方式</w:t>
      </w:r>
      <w:bookmarkEnd w:id="303"/>
      <w:bookmarkEnd w:id="304"/>
      <w:bookmarkEnd w:id="305"/>
      <w:bookmarkEnd w:id="306"/>
    </w:p>
    <w:p w14:paraId="355747F1">
      <w:pPr>
        <w:pStyle w:val="70"/>
        <w:numPr>
          <w:ilvl w:val="0"/>
          <w:numId w:val="0"/>
        </w:numPr>
        <w:spacing w:before="156" w:after="156"/>
        <w:rPr>
          <w:rFonts w:hAnsi="黑体"/>
        </w:rPr>
      </w:pPr>
      <w:r>
        <w:rPr>
          <w:rFonts w:hint="eastAsia" w:hAnsi="黑体"/>
        </w:rPr>
        <w:t xml:space="preserve">10.1.1 </w:t>
      </w:r>
      <w:r>
        <w:rPr>
          <w:rFonts w:hint="eastAsia" w:hAnsi="黑体"/>
          <w:lang w:val="en-US" w:eastAsia="zh-CN"/>
        </w:rPr>
        <w:t xml:space="preserve"> </w:t>
      </w:r>
      <w:r>
        <w:rPr>
          <w:rFonts w:hint="eastAsia" w:hAnsi="黑体"/>
        </w:rPr>
        <w:t>总则</w:t>
      </w:r>
    </w:p>
    <w:p w14:paraId="222CEDF5">
      <w:pPr>
        <w:ind w:firstLine="420" w:firstLineChars="200"/>
        <w:jc w:val="left"/>
        <w:rPr>
          <w:rFonts w:ascii="宋体" w:hAnsi="宋体"/>
          <w:szCs w:val="21"/>
        </w:rPr>
      </w:pPr>
      <w:r>
        <w:rPr>
          <w:rFonts w:hint="eastAsia" w:ascii="宋体" w:hAnsi="宋体"/>
          <w:kern w:val="0"/>
          <w:szCs w:val="21"/>
          <w:lang w:val="de-DE"/>
        </w:rPr>
        <w:t>GB/T 27021.1</w:t>
      </w:r>
      <w:r>
        <w:rPr>
          <w:rFonts w:hint="eastAsia"/>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中10.1</w:t>
      </w:r>
      <w:r>
        <w:rPr>
          <w:rFonts w:hint="eastAsia" w:ascii="宋体" w:hAnsi="宋体"/>
          <w:szCs w:val="21"/>
          <w:lang w:val="de-DE"/>
        </w:rPr>
        <w:t>的</w:t>
      </w:r>
      <w:r>
        <w:rPr>
          <w:rFonts w:hint="eastAsia" w:ascii="宋体" w:hAnsi="宋体"/>
          <w:szCs w:val="21"/>
        </w:rPr>
        <w:t>要求适用。并且，10.1.2的要求和指南适用。</w:t>
      </w:r>
    </w:p>
    <w:p w14:paraId="48F8D29B">
      <w:pPr>
        <w:pStyle w:val="70"/>
        <w:numPr>
          <w:ilvl w:val="0"/>
          <w:numId w:val="0"/>
        </w:numPr>
        <w:spacing w:before="156" w:after="156"/>
        <w:rPr>
          <w:rFonts w:hAnsi="黑体"/>
        </w:rPr>
      </w:pPr>
      <w:r>
        <w:rPr>
          <w:rFonts w:hint="eastAsia" w:hAnsi="黑体"/>
        </w:rPr>
        <w:t>10.1.2</w:t>
      </w:r>
      <w:r>
        <w:rPr>
          <w:rFonts w:hint="eastAsia" w:hAnsi="黑体"/>
          <w:lang w:val="en-US" w:eastAsia="zh-CN"/>
        </w:rPr>
        <w:t xml:space="preserve"> </w:t>
      </w:r>
      <w:r>
        <w:rPr>
          <w:rFonts w:hint="eastAsia" w:hAnsi="黑体"/>
        </w:rPr>
        <w:t xml:space="preserve"> 实施ISMS</w:t>
      </w:r>
    </w:p>
    <w:p w14:paraId="6B349419">
      <w:pPr>
        <w:ind w:firstLine="420" w:firstLineChars="200"/>
        <w:jc w:val="left"/>
        <w:rPr>
          <w:rFonts w:ascii="宋体" w:hAnsi="宋体"/>
          <w:kern w:val="0"/>
          <w:szCs w:val="21"/>
          <w:lang w:val="de-DE"/>
        </w:rPr>
      </w:pPr>
      <w:r>
        <w:rPr>
          <w:rFonts w:hint="eastAsia" w:ascii="宋体" w:hAnsi="宋体"/>
          <w:kern w:val="0"/>
          <w:szCs w:val="21"/>
          <w:lang w:val="de-DE"/>
        </w:rPr>
        <w:t>建议认证机构</w:t>
      </w:r>
      <w:r>
        <w:rPr>
          <w:rFonts w:hint="eastAsia" w:ascii="宋体" w:hAnsi="宋体"/>
          <w:kern w:val="0"/>
          <w:szCs w:val="21"/>
          <w:lang w:val="en-US" w:eastAsia="zh-CN"/>
        </w:rPr>
        <w:t>根据</w:t>
      </w:r>
      <w:r>
        <w:rPr>
          <w:rFonts w:ascii="宋体" w:hAnsi="宋体"/>
          <w:kern w:val="0"/>
          <w:szCs w:val="21"/>
          <w:lang w:val="de-DE"/>
        </w:rPr>
        <w:t>GB/T 22080</w:t>
      </w:r>
      <w:r>
        <w:rPr>
          <w:rFonts w:hint="eastAsia" w:ascii="宋体" w:hAnsi="宋体"/>
          <w:kern w:val="0"/>
          <w:szCs w:val="21"/>
          <w:lang w:val="de-DE"/>
        </w:rPr>
        <w:t>—202X</w:t>
      </w:r>
      <w:r>
        <w:rPr>
          <w:rFonts w:hint="eastAsia" w:ascii="宋体" w:hAnsi="宋体"/>
          <w:szCs w:val="21"/>
        </w:rPr>
        <w:t>实施</w:t>
      </w:r>
      <w:r>
        <w:rPr>
          <w:rFonts w:hint="eastAsia" w:ascii="宋体" w:hAnsi="宋体"/>
          <w:kern w:val="0"/>
          <w:szCs w:val="21"/>
          <w:lang w:val="de-DE"/>
        </w:rPr>
        <w:t>ISMS。</w:t>
      </w:r>
    </w:p>
    <w:p w14:paraId="6D56F420">
      <w:pPr>
        <w:pStyle w:val="66"/>
        <w:numPr>
          <w:ilvl w:val="2"/>
          <w:numId w:val="19"/>
        </w:numPr>
        <w:spacing w:before="156" w:after="156"/>
        <w:rPr>
          <w:rFonts w:hint="eastAsia" w:hAnsi="黑体"/>
          <w:lang w:val="de-DE"/>
        </w:rPr>
      </w:pPr>
      <w:bookmarkStart w:id="307" w:name="_Toc16285"/>
      <w:bookmarkStart w:id="308" w:name="_Toc434010480"/>
      <w:bookmarkStart w:id="309" w:name="_Toc496168586"/>
      <w:bookmarkStart w:id="310" w:name="_Toc4245"/>
      <w:r>
        <w:rPr>
          <w:rFonts w:hint="eastAsia" w:hAnsi="黑体"/>
        </w:rPr>
        <w:t>方式</w:t>
      </w:r>
      <w:r>
        <w:rPr>
          <w:rFonts w:hint="eastAsia" w:hAnsi="黑体"/>
          <w:lang w:val="de-DE"/>
        </w:rPr>
        <w:t>A：</w:t>
      </w:r>
      <w:r>
        <w:rPr>
          <w:rFonts w:hint="eastAsia" w:hAnsi="黑体"/>
        </w:rPr>
        <w:t>通用的管理体系要求</w:t>
      </w:r>
      <w:bookmarkEnd w:id="307"/>
      <w:bookmarkEnd w:id="308"/>
      <w:bookmarkEnd w:id="309"/>
      <w:bookmarkEnd w:id="310"/>
    </w:p>
    <w:p w14:paraId="344C27E4">
      <w:pPr>
        <w:ind w:firstLine="420" w:firstLineChars="200"/>
        <w:jc w:val="left"/>
        <w:rPr>
          <w:rFonts w:ascii="宋体" w:hAnsi="宋体"/>
          <w:szCs w:val="21"/>
          <w:lang w:val="de-DE"/>
        </w:rPr>
      </w:pPr>
      <w:r>
        <w:rPr>
          <w:rFonts w:hint="eastAsia" w:ascii="宋体" w:hAnsi="宋体"/>
          <w:kern w:val="0"/>
          <w:szCs w:val="21"/>
          <w:lang w:val="de-DE"/>
        </w:rPr>
        <w:t>GB/T 27021.1</w:t>
      </w:r>
      <w:r>
        <w:rPr>
          <w:rFonts w:hint="eastAsia"/>
          <w:lang w:val="de-DE"/>
        </w:rPr>
        <w:t>—</w:t>
      </w:r>
      <w:r>
        <w:rPr>
          <w:rFonts w:hint="eastAsia" w:ascii="宋体" w:hAnsi="宋体"/>
          <w:kern w:val="0"/>
          <w:szCs w:val="21"/>
          <w:lang w:val="de-DE"/>
        </w:rPr>
        <w:t>201</w:t>
      </w:r>
      <w:r>
        <w:rPr>
          <w:rFonts w:ascii="宋体" w:hAnsi="宋体"/>
          <w:kern w:val="0"/>
          <w:szCs w:val="21"/>
          <w:lang w:val="de-DE"/>
        </w:rPr>
        <w:t>7</w:t>
      </w:r>
      <w:r>
        <w:rPr>
          <w:rFonts w:hint="eastAsia" w:ascii="宋体" w:hAnsi="宋体"/>
          <w:kern w:val="0"/>
          <w:szCs w:val="21"/>
          <w:lang w:val="de-DE"/>
        </w:rPr>
        <w:t>中10.2的要求适用。</w:t>
      </w:r>
    </w:p>
    <w:p w14:paraId="0B624716">
      <w:pPr>
        <w:pStyle w:val="66"/>
        <w:numPr>
          <w:ilvl w:val="2"/>
          <w:numId w:val="19"/>
        </w:numPr>
        <w:spacing w:before="156" w:after="156"/>
        <w:rPr>
          <w:rFonts w:hint="eastAsia" w:hAnsi="黑体"/>
          <w:lang w:val="de-DE"/>
        </w:rPr>
      </w:pPr>
      <w:bookmarkStart w:id="311" w:name="_Toc496168587"/>
      <w:bookmarkStart w:id="312" w:name="_Toc8297"/>
      <w:bookmarkStart w:id="313" w:name="_Toc22708"/>
      <w:bookmarkStart w:id="314" w:name="_Toc434010481"/>
      <w:r>
        <w:rPr>
          <w:rFonts w:hint="eastAsia" w:hAnsi="黑体"/>
        </w:rPr>
        <w:t>方式</w:t>
      </w:r>
      <w:r>
        <w:rPr>
          <w:rFonts w:hint="eastAsia" w:hAnsi="黑体"/>
          <w:lang w:val="de-DE"/>
        </w:rPr>
        <w:t>B：</w:t>
      </w:r>
      <w:r>
        <w:rPr>
          <w:rFonts w:hint="eastAsia" w:hAnsi="黑体"/>
        </w:rPr>
        <w:t>与</w:t>
      </w:r>
      <w:r>
        <w:rPr>
          <w:rFonts w:hint="eastAsia" w:hAnsi="黑体"/>
          <w:lang w:val="en-US" w:eastAsia="zh-CN"/>
        </w:rPr>
        <w:t xml:space="preserve">ISO </w:t>
      </w:r>
      <w:r>
        <w:rPr>
          <w:rFonts w:hint="eastAsia" w:hAnsi="黑体"/>
          <w:lang w:val="de-DE"/>
        </w:rPr>
        <w:t>9001</w:t>
      </w:r>
      <w:r>
        <w:rPr>
          <w:rFonts w:hint="eastAsia" w:hAnsi="黑体"/>
        </w:rPr>
        <w:t>一致的管理体系要求</w:t>
      </w:r>
      <w:bookmarkEnd w:id="311"/>
      <w:bookmarkEnd w:id="312"/>
      <w:bookmarkEnd w:id="313"/>
      <w:bookmarkEnd w:id="314"/>
    </w:p>
    <w:p w14:paraId="20151FFD">
      <w:pPr>
        <w:ind w:firstLine="420" w:firstLineChars="200"/>
        <w:jc w:val="left"/>
        <w:rPr>
          <w:rFonts w:ascii="宋体" w:hAnsi="宋体"/>
          <w:szCs w:val="21"/>
          <w:lang w:val="de-DE"/>
        </w:rPr>
      </w:pPr>
      <w:r>
        <w:rPr>
          <w:rFonts w:hint="eastAsia" w:ascii="宋体" w:hAnsi="宋体"/>
          <w:kern w:val="0"/>
          <w:szCs w:val="21"/>
          <w:lang w:val="de-DE"/>
        </w:rPr>
        <w:t>GB/T 27021.1</w:t>
      </w:r>
      <w:r>
        <w:rPr>
          <w:rFonts w:hint="eastAsia"/>
          <w:lang w:val="de-DE"/>
        </w:rPr>
        <w:t>—</w:t>
      </w:r>
      <w:r>
        <w:rPr>
          <w:rFonts w:hint="eastAsia" w:ascii="宋体" w:hAnsi="宋体"/>
          <w:kern w:val="0"/>
          <w:szCs w:val="21"/>
          <w:lang w:val="de-DE"/>
        </w:rPr>
        <w:t>201</w:t>
      </w:r>
      <w:r>
        <w:rPr>
          <w:rFonts w:ascii="宋体" w:hAnsi="宋体"/>
          <w:kern w:val="0"/>
          <w:szCs w:val="21"/>
          <w:lang w:val="de-DE"/>
        </w:rPr>
        <w:t>7</w:t>
      </w:r>
      <w:r>
        <w:rPr>
          <w:rFonts w:hint="eastAsia" w:ascii="宋体" w:hAnsi="宋体"/>
          <w:szCs w:val="21"/>
          <w:lang w:val="de-DE"/>
        </w:rPr>
        <w:t>中</w:t>
      </w:r>
      <w:r>
        <w:rPr>
          <w:rFonts w:hint="eastAsia" w:ascii="宋体" w:hAnsi="宋体"/>
          <w:kern w:val="0"/>
          <w:szCs w:val="21"/>
          <w:lang w:val="de-DE"/>
        </w:rPr>
        <w:t>10.3</w:t>
      </w:r>
      <w:r>
        <w:rPr>
          <w:rFonts w:hint="eastAsia" w:ascii="宋体" w:hAnsi="宋体"/>
          <w:szCs w:val="21"/>
          <w:lang w:val="de-DE"/>
        </w:rPr>
        <w:t>的</w:t>
      </w:r>
      <w:r>
        <w:rPr>
          <w:rFonts w:hint="eastAsia" w:ascii="宋体" w:hAnsi="宋体"/>
          <w:szCs w:val="21"/>
        </w:rPr>
        <w:t>要求</w:t>
      </w:r>
      <w:r>
        <w:rPr>
          <w:rFonts w:hint="eastAsia" w:ascii="宋体" w:hAnsi="宋体"/>
          <w:szCs w:val="21"/>
          <w:lang w:val="de-DE"/>
        </w:rPr>
        <w:t xml:space="preserve">适用。 </w:t>
      </w:r>
    </w:p>
    <w:p w14:paraId="2E97FFB5">
      <w:pPr>
        <w:ind w:firstLine="420" w:firstLineChars="200"/>
        <w:jc w:val="left"/>
        <w:rPr>
          <w:rFonts w:ascii="宋体" w:hAnsi="宋体"/>
          <w:szCs w:val="21"/>
          <w:lang w:val="de-DE"/>
        </w:rPr>
      </w:pPr>
    </w:p>
    <w:p w14:paraId="41EBDEB9">
      <w:pPr>
        <w:pStyle w:val="139"/>
        <w:keepNext w:val="0"/>
        <w:pageBreakBefore w:val="0"/>
        <w:numPr>
          <w:ilvl w:val="0"/>
          <w:numId w:val="19"/>
        </w:numPr>
        <w:spacing w:before="0" w:after="0"/>
        <w:rPr>
          <w:rFonts w:hAnsi="黑体"/>
          <w:sz w:val="21"/>
          <w:szCs w:val="21"/>
        </w:rPr>
      </w:pPr>
      <w:r>
        <w:rPr>
          <w:rFonts w:ascii="宋体" w:hAnsi="宋体" w:eastAsia="宋体"/>
          <w:sz w:val="21"/>
          <w:szCs w:val="21"/>
          <w:lang w:val="de-DE"/>
        </w:rPr>
        <w:br w:type="page"/>
      </w:r>
      <w:bookmarkStart w:id="315" w:name="_Toc13496"/>
      <w:bookmarkStart w:id="316" w:name="_Toc31016"/>
      <w:bookmarkStart w:id="317" w:name="_Toc496168588"/>
      <w:bookmarkStart w:id="318" w:name="_Toc434010482"/>
      <w:r>
        <w:rPr>
          <w:rFonts w:hint="eastAsia" w:hAnsi="黑体"/>
          <w:sz w:val="21"/>
          <w:szCs w:val="21"/>
        </w:rPr>
        <w:t>附录A</w:t>
      </w:r>
      <w:bookmarkEnd w:id="315"/>
      <w:bookmarkEnd w:id="316"/>
      <w:bookmarkEnd w:id="317"/>
    </w:p>
    <w:p w14:paraId="0A8B2FA2">
      <w:pPr>
        <w:pStyle w:val="139"/>
        <w:keepNext w:val="0"/>
        <w:pageBreakBefore w:val="0"/>
        <w:numPr>
          <w:ilvl w:val="0"/>
          <w:numId w:val="19"/>
        </w:numPr>
        <w:spacing w:before="0" w:after="0" w:line="300" w:lineRule="auto"/>
        <w:rPr>
          <w:rFonts w:hAnsi="黑体"/>
          <w:sz w:val="21"/>
          <w:szCs w:val="21"/>
        </w:rPr>
      </w:pPr>
      <w:bookmarkStart w:id="319" w:name="_Toc14632"/>
      <w:bookmarkStart w:id="320" w:name="_Toc496168589"/>
      <w:bookmarkStart w:id="321" w:name="_Toc15168"/>
      <w:r>
        <w:rPr>
          <w:rFonts w:hint="eastAsia" w:hAnsi="黑体"/>
          <w:sz w:val="21"/>
          <w:szCs w:val="21"/>
        </w:rPr>
        <w:t>（规范性）</w:t>
      </w:r>
      <w:bookmarkEnd w:id="318"/>
      <w:bookmarkEnd w:id="319"/>
      <w:bookmarkEnd w:id="320"/>
      <w:bookmarkEnd w:id="321"/>
    </w:p>
    <w:p w14:paraId="6827CA3F">
      <w:pPr>
        <w:pStyle w:val="139"/>
        <w:keepNext w:val="0"/>
        <w:pageBreakBefore w:val="0"/>
        <w:numPr>
          <w:ilvl w:val="0"/>
          <w:numId w:val="19"/>
        </w:numPr>
        <w:spacing w:before="0" w:after="0" w:line="300" w:lineRule="auto"/>
        <w:rPr>
          <w:rFonts w:hAnsi="黑体"/>
          <w:sz w:val="21"/>
          <w:szCs w:val="21"/>
        </w:rPr>
      </w:pPr>
      <w:bookmarkStart w:id="322" w:name="_Toc496168590"/>
      <w:bookmarkStart w:id="323" w:name="_Toc26268"/>
      <w:bookmarkStart w:id="324" w:name="_Toc434010483"/>
      <w:bookmarkStart w:id="325" w:name="_Toc12706"/>
      <w:r>
        <w:rPr>
          <w:rFonts w:hint="eastAsia" w:hAnsi="黑体"/>
          <w:sz w:val="21"/>
          <w:szCs w:val="21"/>
        </w:rPr>
        <w:t>ISMS审核与认证</w:t>
      </w:r>
      <w:r>
        <w:rPr>
          <w:rFonts w:hint="eastAsia" w:hAnsi="黑体"/>
          <w:sz w:val="21"/>
          <w:szCs w:val="21"/>
          <w:lang w:val="en-US" w:eastAsia="zh-CN"/>
        </w:rPr>
        <w:t>所需</w:t>
      </w:r>
      <w:r>
        <w:rPr>
          <w:rFonts w:hint="eastAsia" w:hAnsi="黑体"/>
          <w:sz w:val="21"/>
          <w:szCs w:val="21"/>
        </w:rPr>
        <w:t>的知识</w:t>
      </w:r>
      <w:r>
        <w:rPr>
          <w:rFonts w:hint="eastAsia" w:hAnsi="黑体"/>
          <w:sz w:val="21"/>
          <w:szCs w:val="21"/>
          <w:lang w:val="en-US" w:eastAsia="zh-CN"/>
        </w:rPr>
        <w:t>和</w:t>
      </w:r>
      <w:r>
        <w:rPr>
          <w:rFonts w:hint="eastAsia" w:hAnsi="黑体"/>
          <w:sz w:val="21"/>
          <w:szCs w:val="21"/>
        </w:rPr>
        <w:t>技能</w:t>
      </w:r>
      <w:bookmarkEnd w:id="322"/>
      <w:bookmarkEnd w:id="323"/>
      <w:bookmarkEnd w:id="324"/>
      <w:bookmarkEnd w:id="325"/>
    </w:p>
    <w:p w14:paraId="73B5D5FF">
      <w:pPr>
        <w:pStyle w:val="70"/>
        <w:numPr>
          <w:ilvl w:val="0"/>
          <w:numId w:val="0"/>
        </w:numPr>
        <w:spacing w:before="156" w:after="156"/>
        <w:rPr>
          <w:rFonts w:hAnsi="黑体"/>
        </w:rPr>
      </w:pPr>
      <w:r>
        <w:rPr>
          <w:rFonts w:hint="eastAsia" w:hAnsi="黑体"/>
        </w:rPr>
        <w:t>A.1</w:t>
      </w:r>
      <w:r>
        <w:rPr>
          <w:rFonts w:hint="eastAsia" w:hAnsi="黑体"/>
          <w:lang w:val="en-US" w:eastAsia="zh-CN"/>
        </w:rPr>
        <w:t xml:space="preserve">  </w:t>
      </w:r>
      <w:r>
        <w:rPr>
          <w:rFonts w:hint="eastAsia" w:hAnsi="黑体"/>
        </w:rPr>
        <w:t>概述</w:t>
      </w:r>
    </w:p>
    <w:p w14:paraId="5C020A17">
      <w:pPr>
        <w:ind w:firstLine="420" w:firstLineChars="200"/>
        <w:jc w:val="left"/>
        <w:rPr>
          <w:rFonts w:ascii="宋体" w:hAnsi="宋体"/>
          <w:szCs w:val="21"/>
        </w:rPr>
      </w:pPr>
      <w:r>
        <w:rPr>
          <w:rFonts w:hint="eastAsia" w:ascii="宋体" w:hAnsi="宋体"/>
          <w:szCs w:val="21"/>
        </w:rPr>
        <w:t>除GB/T 27021.1—2017的要求外，表A.1规定了认证机构应为特定认证职能定义的知识和技能。“X”表示认证机构应确定相应知识和技能的准则和深度。表A.1中规定的知识和技能要求在第7章中有更详细的解释，并在表A.1的括号中</w:t>
      </w:r>
      <w:r>
        <w:rPr>
          <w:rFonts w:hint="eastAsia" w:ascii="宋体" w:hAnsi="宋体"/>
          <w:szCs w:val="21"/>
          <w:lang w:val="en-US" w:eastAsia="zh-CN"/>
        </w:rPr>
        <w:t>给出了对应的条款号。</w:t>
      </w:r>
    </w:p>
    <w:p w14:paraId="06610F79">
      <w:pPr>
        <w:spacing w:line="300" w:lineRule="auto"/>
        <w:ind w:firstLine="420" w:firstLineChars="200"/>
        <w:jc w:val="center"/>
        <w:rPr>
          <w:rFonts w:ascii="黑体" w:hAnsi="黑体" w:eastAsia="黑体"/>
          <w:szCs w:val="21"/>
        </w:rPr>
      </w:pPr>
      <w:r>
        <w:rPr>
          <w:rFonts w:hint="eastAsia" w:ascii="黑体" w:hAnsi="黑体" w:eastAsia="黑体"/>
          <w:szCs w:val="21"/>
        </w:rPr>
        <w:t>表A.1 ISMS审核与认证</w:t>
      </w:r>
      <w:r>
        <w:rPr>
          <w:rFonts w:hint="eastAsia" w:ascii="黑体" w:hAnsi="黑体" w:eastAsia="黑体"/>
          <w:szCs w:val="21"/>
          <w:lang w:val="en-US" w:eastAsia="zh-CN"/>
        </w:rPr>
        <w:t>所需</w:t>
      </w:r>
      <w:r>
        <w:rPr>
          <w:rFonts w:hint="eastAsia" w:ascii="黑体" w:hAnsi="黑体" w:eastAsia="黑体"/>
          <w:szCs w:val="21"/>
        </w:rPr>
        <w:t>的知识</w:t>
      </w:r>
    </w:p>
    <w:tbl>
      <w:tblPr>
        <w:tblStyle w:val="4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126"/>
        <w:gridCol w:w="2693"/>
        <w:gridCol w:w="1985"/>
        <w:gridCol w:w="1916"/>
      </w:tblGrid>
      <w:tr w14:paraId="77BF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26" w:type="dxa"/>
            <w:vMerge w:val="restart"/>
            <w:tcBorders>
              <w:top w:val="single" w:color="auto" w:sz="4" w:space="0"/>
              <w:left w:val="single" w:color="auto" w:sz="4" w:space="0"/>
              <w:right w:val="single" w:color="auto" w:sz="4" w:space="0"/>
              <w:tl2br w:val="nil"/>
            </w:tcBorders>
            <w:shd w:val="clear" w:color="auto" w:fill="FFFFFF"/>
            <w:vAlign w:val="center"/>
          </w:tcPr>
          <w:p w14:paraId="176C5BC6">
            <w:pPr>
              <w:rPr>
                <w:rStyle w:val="60"/>
              </w:rPr>
            </w:pPr>
            <w:r>
              <w:rPr>
                <w:rFonts w:hint="eastAsia" w:ascii="宋体" w:hAnsi="宋体" w:cs="Arial"/>
                <w:sz w:val="18"/>
                <w:szCs w:val="18"/>
              </w:rPr>
              <w:t xml:space="preserve">        </w:t>
            </w:r>
            <w:r>
              <w:rPr>
                <w:rFonts w:ascii="宋体" w:hAnsi="宋体" w:cs="Arial"/>
                <w:b/>
                <w:sz w:val="18"/>
                <w:szCs w:val="18"/>
              </w:rPr>
              <w:t>知识</w:t>
            </w:r>
          </w:p>
        </w:tc>
        <w:tc>
          <w:tcPr>
            <w:tcW w:w="6594" w:type="dxa"/>
            <w:gridSpan w:val="3"/>
            <w:tcBorders>
              <w:left w:val="single" w:color="auto" w:sz="4" w:space="0"/>
            </w:tcBorders>
            <w:shd w:val="clear" w:color="auto" w:fill="FFFFFF"/>
            <w:vAlign w:val="center"/>
          </w:tcPr>
          <w:p w14:paraId="1718261F">
            <w:pPr>
              <w:jc w:val="center"/>
              <w:rPr>
                <w:rFonts w:ascii="宋体" w:hAnsi="宋体" w:cs="Arial"/>
                <w:b/>
                <w:sz w:val="18"/>
                <w:szCs w:val="18"/>
              </w:rPr>
            </w:pPr>
            <w:r>
              <w:rPr>
                <w:rFonts w:ascii="宋体" w:hAnsi="宋体" w:cs="Arial"/>
                <w:b/>
                <w:sz w:val="18"/>
                <w:szCs w:val="18"/>
              </w:rPr>
              <w:t>认证职能</w:t>
            </w:r>
          </w:p>
        </w:tc>
      </w:tr>
      <w:tr w14:paraId="3868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29" w:hRule="atLeast"/>
          <w:tblHeader/>
          <w:jc w:val="center"/>
        </w:trPr>
        <w:tc>
          <w:tcPr>
            <w:tcW w:w="2126" w:type="dxa"/>
            <w:vMerge w:val="continue"/>
            <w:tcBorders>
              <w:left w:val="single" w:color="auto" w:sz="4" w:space="0"/>
              <w:bottom w:val="single" w:color="auto" w:sz="4" w:space="0"/>
              <w:right w:val="single" w:color="auto" w:sz="4" w:space="0"/>
              <w:tl2br w:val="nil"/>
            </w:tcBorders>
            <w:shd w:val="clear" w:color="auto" w:fill="FFFFFF"/>
            <w:vAlign w:val="center"/>
          </w:tcPr>
          <w:p w14:paraId="048C2845">
            <w:pPr>
              <w:rPr>
                <w:rFonts w:ascii="宋体" w:hAnsi="宋体" w:cs="Arial"/>
                <w:sz w:val="18"/>
                <w:szCs w:val="18"/>
              </w:rPr>
            </w:pPr>
          </w:p>
        </w:tc>
        <w:tc>
          <w:tcPr>
            <w:tcW w:w="2693" w:type="dxa"/>
            <w:tcBorders>
              <w:left w:val="single" w:color="auto" w:sz="4" w:space="0"/>
            </w:tcBorders>
            <w:shd w:val="clear" w:color="auto" w:fill="FFFFFF"/>
            <w:vAlign w:val="center"/>
          </w:tcPr>
          <w:p w14:paraId="7912FC50">
            <w:pPr>
              <w:rPr>
                <w:rFonts w:ascii="宋体" w:hAnsi="宋体" w:cs="Arial"/>
                <w:sz w:val="18"/>
                <w:szCs w:val="18"/>
              </w:rPr>
            </w:pPr>
            <w:r>
              <w:rPr>
                <w:rFonts w:ascii="宋体" w:hAnsi="宋体" w:cs="Arial"/>
                <w:sz w:val="18"/>
                <w:szCs w:val="18"/>
              </w:rPr>
              <w:t>实施申请评审</w:t>
            </w:r>
            <w:r>
              <w:rPr>
                <w:rFonts w:hint="eastAsia" w:ascii="宋体" w:hAnsi="宋体" w:cs="Arial"/>
                <w:sz w:val="18"/>
                <w:szCs w:val="18"/>
              </w:rPr>
              <w:t>，</w:t>
            </w:r>
            <w:r>
              <w:rPr>
                <w:rFonts w:ascii="宋体" w:hAnsi="宋体" w:cs="Arial"/>
                <w:sz w:val="18"/>
                <w:szCs w:val="18"/>
              </w:rPr>
              <w:t>以确定审核组所需能力、选择审核组成员并确定审核时间</w:t>
            </w:r>
          </w:p>
        </w:tc>
        <w:tc>
          <w:tcPr>
            <w:tcW w:w="1985" w:type="dxa"/>
            <w:shd w:val="clear" w:color="auto" w:fill="FFFFFF"/>
            <w:vAlign w:val="center"/>
          </w:tcPr>
          <w:p w14:paraId="6F3A12F1">
            <w:pPr>
              <w:jc w:val="center"/>
              <w:rPr>
                <w:rFonts w:ascii="宋体" w:hAnsi="宋体" w:cs="Arial"/>
                <w:sz w:val="18"/>
                <w:szCs w:val="18"/>
              </w:rPr>
            </w:pPr>
            <w:r>
              <w:rPr>
                <w:rFonts w:ascii="宋体" w:hAnsi="宋体" w:cs="Arial"/>
                <w:sz w:val="18"/>
                <w:szCs w:val="18"/>
              </w:rPr>
              <w:t>复核审核报告并做出认证决定</w:t>
            </w:r>
          </w:p>
        </w:tc>
        <w:tc>
          <w:tcPr>
            <w:tcW w:w="1916" w:type="dxa"/>
            <w:shd w:val="clear" w:color="auto" w:fill="FFFFFF"/>
            <w:vAlign w:val="center"/>
          </w:tcPr>
          <w:p w14:paraId="266AFBE2">
            <w:pPr>
              <w:jc w:val="center"/>
              <w:rPr>
                <w:rFonts w:ascii="宋体" w:hAnsi="宋体" w:cs="Arial"/>
                <w:sz w:val="18"/>
                <w:szCs w:val="18"/>
              </w:rPr>
            </w:pPr>
            <w:r>
              <w:rPr>
                <w:rFonts w:ascii="宋体" w:hAnsi="宋体" w:cs="Arial"/>
                <w:sz w:val="18"/>
                <w:szCs w:val="18"/>
              </w:rPr>
              <w:t>审核及领导审核组</w:t>
            </w:r>
          </w:p>
        </w:tc>
      </w:tr>
      <w:tr w14:paraId="7706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exact"/>
          <w:jc w:val="center"/>
        </w:trPr>
        <w:tc>
          <w:tcPr>
            <w:tcW w:w="2126" w:type="dxa"/>
            <w:tcBorders>
              <w:top w:val="single" w:color="auto" w:sz="4" w:space="0"/>
            </w:tcBorders>
            <w:shd w:val="clear" w:color="auto" w:fill="FFFFFF"/>
            <w:vAlign w:val="center"/>
          </w:tcPr>
          <w:p w14:paraId="398C7814">
            <w:pPr>
              <w:rPr>
                <w:rFonts w:ascii="宋体" w:hAnsi="宋体" w:cs="Arial"/>
                <w:sz w:val="18"/>
                <w:szCs w:val="18"/>
              </w:rPr>
            </w:pPr>
            <w:r>
              <w:rPr>
                <w:rFonts w:ascii="宋体" w:hAnsi="宋体" w:cs="Arial"/>
                <w:sz w:val="18"/>
                <w:szCs w:val="18"/>
              </w:rPr>
              <w:t>信息安全管理术语</w:t>
            </w:r>
            <w:r>
              <w:rPr>
                <w:rFonts w:hint="eastAsia" w:ascii="宋体" w:hAnsi="宋体" w:cs="Arial"/>
                <w:sz w:val="18"/>
                <w:szCs w:val="18"/>
              </w:rPr>
              <w:t>、</w:t>
            </w:r>
            <w:r>
              <w:rPr>
                <w:rFonts w:ascii="宋体" w:hAnsi="宋体" w:cs="Arial"/>
                <w:sz w:val="18"/>
                <w:szCs w:val="18"/>
              </w:rPr>
              <w:t>原则</w:t>
            </w:r>
            <w:r>
              <w:rPr>
                <w:rFonts w:hint="eastAsia" w:ascii="宋体" w:hAnsi="宋体" w:cs="Arial"/>
                <w:sz w:val="18"/>
                <w:szCs w:val="18"/>
              </w:rPr>
              <w:t>、实践</w:t>
            </w:r>
            <w:r>
              <w:rPr>
                <w:rFonts w:ascii="宋体" w:hAnsi="宋体" w:cs="Arial"/>
                <w:sz w:val="18"/>
                <w:szCs w:val="18"/>
              </w:rPr>
              <w:t>和技术</w:t>
            </w:r>
          </w:p>
        </w:tc>
        <w:tc>
          <w:tcPr>
            <w:tcW w:w="2693" w:type="dxa"/>
            <w:shd w:val="clear" w:color="auto" w:fill="FFFFFF"/>
            <w:vAlign w:val="center"/>
          </w:tcPr>
          <w:p w14:paraId="7C242465">
            <w:pPr>
              <w:jc w:val="center"/>
              <w:rPr>
                <w:rFonts w:ascii="宋体" w:hAnsi="宋体" w:cs="Arial"/>
                <w:sz w:val="18"/>
                <w:szCs w:val="18"/>
              </w:rPr>
            </w:pPr>
          </w:p>
        </w:tc>
        <w:tc>
          <w:tcPr>
            <w:tcW w:w="1985" w:type="dxa"/>
            <w:shd w:val="clear" w:color="auto" w:fill="FFFFFF"/>
            <w:vAlign w:val="center"/>
          </w:tcPr>
          <w:p w14:paraId="3ED0FE8D">
            <w:pPr>
              <w:jc w:val="center"/>
              <w:rPr>
                <w:rFonts w:ascii="宋体" w:hAnsi="宋体" w:cs="Arial"/>
                <w:sz w:val="18"/>
                <w:szCs w:val="18"/>
              </w:rPr>
            </w:pPr>
            <w:r>
              <w:rPr>
                <w:rFonts w:hint="eastAsia" w:ascii="宋体" w:hAnsi="宋体" w:cs="Arial"/>
                <w:sz w:val="18"/>
                <w:szCs w:val="18"/>
              </w:rPr>
              <w:t>X（见7.1.3.3.2）</w:t>
            </w:r>
          </w:p>
        </w:tc>
        <w:tc>
          <w:tcPr>
            <w:tcW w:w="1916" w:type="dxa"/>
            <w:shd w:val="clear" w:color="auto" w:fill="FFFFFF"/>
            <w:vAlign w:val="center"/>
          </w:tcPr>
          <w:p w14:paraId="6038E6CC">
            <w:pPr>
              <w:jc w:val="center"/>
              <w:rPr>
                <w:rFonts w:ascii="宋体" w:hAnsi="宋体" w:cs="Arial"/>
                <w:sz w:val="18"/>
                <w:szCs w:val="18"/>
              </w:rPr>
            </w:pPr>
            <w:r>
              <w:rPr>
                <w:rFonts w:hint="eastAsia" w:ascii="宋体" w:hAnsi="宋体" w:cs="Arial"/>
                <w:sz w:val="18"/>
                <w:szCs w:val="18"/>
              </w:rPr>
              <w:t>X（见7.1.3.1.2）</w:t>
            </w:r>
          </w:p>
        </w:tc>
      </w:tr>
      <w:tr w14:paraId="035E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exact"/>
          <w:jc w:val="center"/>
        </w:trPr>
        <w:tc>
          <w:tcPr>
            <w:tcW w:w="2126" w:type="dxa"/>
            <w:shd w:val="clear" w:color="auto" w:fill="FFFFFF"/>
            <w:vAlign w:val="center"/>
          </w:tcPr>
          <w:p w14:paraId="3AC0C07A">
            <w:pPr>
              <w:rPr>
                <w:rFonts w:ascii="宋体" w:hAnsi="宋体" w:cs="Arial"/>
                <w:sz w:val="18"/>
                <w:szCs w:val="18"/>
              </w:rPr>
            </w:pPr>
            <w:r>
              <w:rPr>
                <w:rFonts w:ascii="宋体" w:hAnsi="宋体" w:cs="Arial"/>
                <w:sz w:val="18"/>
                <w:szCs w:val="18"/>
              </w:rPr>
              <w:t>信息安全管理体系标准</w:t>
            </w:r>
            <w:r>
              <w:rPr>
                <w:rFonts w:hint="eastAsia" w:ascii="宋体" w:hAnsi="宋体" w:cs="Arial"/>
                <w:sz w:val="18"/>
                <w:szCs w:val="18"/>
              </w:rPr>
              <w:t>/规范性文件</w:t>
            </w:r>
          </w:p>
        </w:tc>
        <w:tc>
          <w:tcPr>
            <w:tcW w:w="2693" w:type="dxa"/>
            <w:shd w:val="clear" w:color="auto" w:fill="FFFFFF"/>
            <w:vAlign w:val="center"/>
          </w:tcPr>
          <w:p w14:paraId="6A9B2A3D">
            <w:pPr>
              <w:jc w:val="center"/>
              <w:rPr>
                <w:rFonts w:ascii="宋体" w:hAnsi="宋体" w:cs="Arial"/>
                <w:sz w:val="18"/>
                <w:szCs w:val="18"/>
              </w:rPr>
            </w:pPr>
          </w:p>
        </w:tc>
        <w:tc>
          <w:tcPr>
            <w:tcW w:w="1985" w:type="dxa"/>
            <w:shd w:val="clear" w:color="auto" w:fill="FFFFFF"/>
            <w:vAlign w:val="center"/>
          </w:tcPr>
          <w:p w14:paraId="2DCC827B">
            <w:pPr>
              <w:jc w:val="center"/>
              <w:rPr>
                <w:rFonts w:ascii="宋体" w:hAnsi="宋体" w:cs="Arial"/>
                <w:sz w:val="18"/>
                <w:szCs w:val="18"/>
              </w:rPr>
            </w:pPr>
          </w:p>
        </w:tc>
        <w:tc>
          <w:tcPr>
            <w:tcW w:w="1916" w:type="dxa"/>
            <w:shd w:val="clear" w:color="auto" w:fill="FFFFFF"/>
            <w:vAlign w:val="center"/>
          </w:tcPr>
          <w:p w14:paraId="5A2C6514">
            <w:pPr>
              <w:jc w:val="center"/>
              <w:rPr>
                <w:rFonts w:ascii="宋体" w:hAnsi="宋体" w:cs="Arial"/>
                <w:sz w:val="18"/>
                <w:szCs w:val="18"/>
              </w:rPr>
            </w:pPr>
            <w:r>
              <w:rPr>
                <w:rFonts w:hint="eastAsia" w:ascii="宋体" w:hAnsi="宋体" w:cs="Arial"/>
                <w:sz w:val="18"/>
                <w:szCs w:val="18"/>
              </w:rPr>
              <w:t>X（见7.1.3.1.3）</w:t>
            </w:r>
          </w:p>
        </w:tc>
      </w:tr>
      <w:tr w14:paraId="6EB6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5" w:hRule="exact"/>
          <w:jc w:val="center"/>
        </w:trPr>
        <w:tc>
          <w:tcPr>
            <w:tcW w:w="2126" w:type="dxa"/>
            <w:shd w:val="clear" w:color="auto" w:fill="FFFFFF"/>
            <w:vAlign w:val="center"/>
          </w:tcPr>
          <w:p w14:paraId="23602EEA">
            <w:pPr>
              <w:rPr>
                <w:rFonts w:ascii="宋体" w:hAnsi="宋体" w:cs="Arial"/>
                <w:sz w:val="18"/>
                <w:szCs w:val="18"/>
              </w:rPr>
            </w:pPr>
            <w:r>
              <w:rPr>
                <w:rFonts w:ascii="宋体" w:hAnsi="宋体" w:cs="Arial"/>
                <w:sz w:val="18"/>
                <w:szCs w:val="18"/>
              </w:rPr>
              <w:t>业务管理实践</w:t>
            </w:r>
          </w:p>
        </w:tc>
        <w:tc>
          <w:tcPr>
            <w:tcW w:w="2693" w:type="dxa"/>
            <w:shd w:val="clear" w:color="auto" w:fill="FFFFFF"/>
            <w:vAlign w:val="center"/>
          </w:tcPr>
          <w:p w14:paraId="2FB5D8DF">
            <w:pPr>
              <w:jc w:val="center"/>
              <w:rPr>
                <w:rFonts w:ascii="宋体" w:hAnsi="宋体" w:cs="Arial"/>
                <w:sz w:val="18"/>
                <w:szCs w:val="18"/>
              </w:rPr>
            </w:pPr>
          </w:p>
        </w:tc>
        <w:tc>
          <w:tcPr>
            <w:tcW w:w="1985" w:type="dxa"/>
            <w:shd w:val="clear" w:color="auto" w:fill="FFFFFF"/>
            <w:vAlign w:val="center"/>
          </w:tcPr>
          <w:p w14:paraId="6B837A93">
            <w:pPr>
              <w:jc w:val="center"/>
              <w:rPr>
                <w:rFonts w:ascii="宋体" w:hAnsi="宋体" w:cs="Arial"/>
                <w:sz w:val="18"/>
                <w:szCs w:val="18"/>
              </w:rPr>
            </w:pPr>
          </w:p>
        </w:tc>
        <w:tc>
          <w:tcPr>
            <w:tcW w:w="1916" w:type="dxa"/>
            <w:shd w:val="clear" w:color="auto" w:fill="FFFFFF"/>
            <w:vAlign w:val="center"/>
          </w:tcPr>
          <w:p w14:paraId="4E641C70">
            <w:pPr>
              <w:jc w:val="center"/>
              <w:rPr>
                <w:rFonts w:ascii="宋体" w:hAnsi="宋体" w:cs="Arial"/>
                <w:sz w:val="18"/>
                <w:szCs w:val="18"/>
              </w:rPr>
            </w:pPr>
            <w:r>
              <w:rPr>
                <w:rFonts w:hint="eastAsia" w:ascii="宋体" w:hAnsi="宋体" w:cs="Arial"/>
                <w:sz w:val="18"/>
                <w:szCs w:val="18"/>
              </w:rPr>
              <w:t>X（见7.1.3.1.4）</w:t>
            </w:r>
          </w:p>
        </w:tc>
      </w:tr>
      <w:tr w14:paraId="51FA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1" w:hRule="exact"/>
          <w:jc w:val="center"/>
        </w:trPr>
        <w:tc>
          <w:tcPr>
            <w:tcW w:w="2126" w:type="dxa"/>
            <w:shd w:val="clear" w:color="auto" w:fill="FFFFFF"/>
            <w:vAlign w:val="center"/>
          </w:tcPr>
          <w:p w14:paraId="632CAE7C">
            <w:pPr>
              <w:rPr>
                <w:rFonts w:ascii="宋体" w:hAnsi="宋体" w:cs="Arial"/>
                <w:sz w:val="18"/>
                <w:szCs w:val="18"/>
              </w:rPr>
            </w:pPr>
            <w:r>
              <w:rPr>
                <w:rFonts w:ascii="宋体" w:hAnsi="宋体" w:cs="Arial"/>
                <w:sz w:val="18"/>
                <w:szCs w:val="18"/>
              </w:rPr>
              <w:t>客户的业务领域</w:t>
            </w:r>
          </w:p>
        </w:tc>
        <w:tc>
          <w:tcPr>
            <w:tcW w:w="2693" w:type="dxa"/>
            <w:shd w:val="clear" w:color="auto" w:fill="FFFFFF"/>
            <w:vAlign w:val="center"/>
          </w:tcPr>
          <w:p w14:paraId="413994CB">
            <w:pPr>
              <w:jc w:val="center"/>
              <w:rPr>
                <w:rFonts w:ascii="宋体" w:hAnsi="宋体" w:cs="Arial"/>
                <w:sz w:val="18"/>
                <w:szCs w:val="18"/>
              </w:rPr>
            </w:pPr>
            <w:r>
              <w:rPr>
                <w:rFonts w:hint="eastAsia" w:ascii="宋体" w:hAnsi="宋体" w:cs="Arial"/>
                <w:sz w:val="18"/>
                <w:szCs w:val="18"/>
              </w:rPr>
              <w:t>X（见7.1.3.2.1）</w:t>
            </w:r>
          </w:p>
        </w:tc>
        <w:tc>
          <w:tcPr>
            <w:tcW w:w="1985" w:type="dxa"/>
            <w:shd w:val="clear" w:color="auto" w:fill="FFFFFF"/>
            <w:vAlign w:val="center"/>
          </w:tcPr>
          <w:p w14:paraId="2CD47722">
            <w:pPr>
              <w:jc w:val="center"/>
              <w:rPr>
                <w:rFonts w:ascii="宋体" w:hAnsi="宋体" w:cs="Arial"/>
                <w:sz w:val="18"/>
                <w:szCs w:val="18"/>
              </w:rPr>
            </w:pPr>
            <w:r>
              <w:rPr>
                <w:rFonts w:hint="eastAsia" w:ascii="宋体" w:hAnsi="宋体" w:cs="Arial"/>
                <w:sz w:val="18"/>
                <w:szCs w:val="18"/>
              </w:rPr>
              <w:t>X（见7.1.3.3.3）</w:t>
            </w:r>
          </w:p>
        </w:tc>
        <w:tc>
          <w:tcPr>
            <w:tcW w:w="1916" w:type="dxa"/>
            <w:shd w:val="clear" w:color="auto" w:fill="FFFFFF"/>
            <w:vAlign w:val="center"/>
          </w:tcPr>
          <w:p w14:paraId="199AA876">
            <w:pPr>
              <w:jc w:val="center"/>
              <w:rPr>
                <w:rFonts w:ascii="宋体" w:hAnsi="宋体" w:cs="Arial"/>
                <w:sz w:val="18"/>
                <w:szCs w:val="18"/>
              </w:rPr>
            </w:pPr>
            <w:r>
              <w:rPr>
                <w:rFonts w:hint="eastAsia" w:ascii="宋体" w:hAnsi="宋体" w:cs="Arial"/>
                <w:sz w:val="18"/>
                <w:szCs w:val="18"/>
              </w:rPr>
              <w:t>X（见7.1.3.1.5）</w:t>
            </w:r>
          </w:p>
        </w:tc>
      </w:tr>
      <w:tr w14:paraId="5E67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5" w:hRule="exact"/>
          <w:jc w:val="center"/>
        </w:trPr>
        <w:tc>
          <w:tcPr>
            <w:tcW w:w="2126" w:type="dxa"/>
            <w:shd w:val="clear" w:color="auto" w:fill="FFFFFF"/>
            <w:vAlign w:val="center"/>
          </w:tcPr>
          <w:p w14:paraId="20B21B30">
            <w:pPr>
              <w:rPr>
                <w:rFonts w:ascii="宋体" w:hAnsi="宋体" w:cs="Arial"/>
                <w:sz w:val="18"/>
                <w:szCs w:val="18"/>
              </w:rPr>
            </w:pPr>
            <w:r>
              <w:rPr>
                <w:rFonts w:ascii="宋体" w:hAnsi="宋体" w:cs="Arial"/>
                <w:sz w:val="18"/>
                <w:szCs w:val="18"/>
              </w:rPr>
              <w:t>客户的产品、过程和组织</w:t>
            </w:r>
          </w:p>
        </w:tc>
        <w:tc>
          <w:tcPr>
            <w:tcW w:w="2693" w:type="dxa"/>
            <w:shd w:val="clear" w:color="auto" w:fill="FFFFFF"/>
            <w:vAlign w:val="center"/>
          </w:tcPr>
          <w:p w14:paraId="6594ADCB">
            <w:pPr>
              <w:jc w:val="center"/>
              <w:rPr>
                <w:rFonts w:ascii="宋体" w:hAnsi="宋体" w:cs="Arial"/>
                <w:sz w:val="18"/>
                <w:szCs w:val="18"/>
              </w:rPr>
            </w:pPr>
            <w:r>
              <w:rPr>
                <w:rFonts w:hint="eastAsia" w:ascii="宋体" w:hAnsi="宋体" w:cs="Arial"/>
                <w:sz w:val="18"/>
                <w:szCs w:val="18"/>
              </w:rPr>
              <w:t>X（见7.1.3.2.2）</w:t>
            </w:r>
          </w:p>
        </w:tc>
        <w:tc>
          <w:tcPr>
            <w:tcW w:w="1985" w:type="dxa"/>
            <w:shd w:val="clear" w:color="auto" w:fill="FFFFFF"/>
            <w:vAlign w:val="center"/>
          </w:tcPr>
          <w:p w14:paraId="2577FF01">
            <w:pPr>
              <w:jc w:val="center"/>
              <w:rPr>
                <w:rFonts w:ascii="宋体" w:hAnsi="宋体" w:cs="Arial"/>
                <w:sz w:val="18"/>
                <w:szCs w:val="18"/>
              </w:rPr>
            </w:pPr>
            <w:r>
              <w:rPr>
                <w:rFonts w:hint="eastAsia" w:ascii="宋体" w:hAnsi="宋体" w:cs="Arial"/>
                <w:sz w:val="18"/>
                <w:szCs w:val="18"/>
              </w:rPr>
              <w:t>X（见7.1.3.3.4）</w:t>
            </w:r>
          </w:p>
        </w:tc>
        <w:tc>
          <w:tcPr>
            <w:tcW w:w="1916" w:type="dxa"/>
            <w:shd w:val="clear" w:color="auto" w:fill="FFFFFF"/>
            <w:vAlign w:val="center"/>
          </w:tcPr>
          <w:p w14:paraId="2D59087F">
            <w:pPr>
              <w:jc w:val="center"/>
              <w:rPr>
                <w:rFonts w:ascii="宋体" w:hAnsi="宋体" w:cs="Arial"/>
                <w:sz w:val="18"/>
                <w:szCs w:val="18"/>
              </w:rPr>
            </w:pPr>
            <w:r>
              <w:rPr>
                <w:rFonts w:hint="eastAsia" w:ascii="宋体" w:hAnsi="宋体" w:cs="Arial"/>
                <w:sz w:val="18"/>
                <w:szCs w:val="18"/>
              </w:rPr>
              <w:t>X（见7.1.3.1.6）</w:t>
            </w:r>
          </w:p>
        </w:tc>
      </w:tr>
    </w:tbl>
    <w:p w14:paraId="3BE2B197">
      <w:pPr>
        <w:pStyle w:val="70"/>
        <w:numPr>
          <w:ilvl w:val="0"/>
          <w:numId w:val="0"/>
        </w:numPr>
        <w:spacing w:before="0" w:beforeLines="0" w:after="0" w:afterLines="0"/>
        <w:ind w:firstLine="360" w:firstLineChars="200"/>
        <w:rPr>
          <w:rFonts w:hAnsi="黑体"/>
        </w:rPr>
      </w:pPr>
      <w:r>
        <w:rPr>
          <w:rFonts w:hint="eastAsia" w:hAnsi="黑体"/>
          <w:sz w:val="18"/>
          <w:szCs w:val="18"/>
          <w:lang w:val="de-DE"/>
        </w:rPr>
        <w:t>注：</w:t>
      </w:r>
      <w:r>
        <w:rPr>
          <w:rFonts w:hint="eastAsia" w:asciiTheme="minorEastAsia" w:hAnsiTheme="minorEastAsia" w:eastAsiaTheme="minorEastAsia" w:cstheme="minorEastAsia"/>
          <w:sz w:val="18"/>
          <w:szCs w:val="18"/>
          <w:lang w:val="de-DE"/>
        </w:rPr>
        <w:t>附录B给出了能力</w:t>
      </w:r>
      <w:r>
        <w:rPr>
          <w:rFonts w:hint="eastAsia" w:asciiTheme="minorEastAsia" w:hAnsiTheme="minorEastAsia" w:eastAsiaTheme="minorEastAsia" w:cstheme="minorEastAsia"/>
          <w:sz w:val="18"/>
          <w:szCs w:val="18"/>
          <w:lang w:val="de-DE" w:eastAsia="zh-CN"/>
        </w:rPr>
        <w:t>的</w:t>
      </w:r>
      <w:r>
        <w:rPr>
          <w:rFonts w:hint="eastAsia" w:asciiTheme="minorEastAsia" w:hAnsiTheme="minorEastAsia" w:eastAsiaTheme="minorEastAsia" w:cstheme="minorEastAsia"/>
          <w:sz w:val="18"/>
          <w:szCs w:val="18"/>
          <w:lang w:val="en-US" w:eastAsia="zh-CN"/>
        </w:rPr>
        <w:t>其他</w:t>
      </w:r>
      <w:r>
        <w:rPr>
          <w:rFonts w:hint="eastAsia" w:asciiTheme="minorEastAsia" w:hAnsiTheme="minorEastAsia" w:eastAsiaTheme="minorEastAsia" w:cstheme="minorEastAsia"/>
          <w:sz w:val="18"/>
          <w:szCs w:val="18"/>
          <w:lang w:val="de-DE"/>
        </w:rPr>
        <w:t>考虑</w:t>
      </w:r>
      <w:r>
        <w:rPr>
          <w:rFonts w:hint="eastAsia" w:asciiTheme="minorEastAsia" w:hAnsiTheme="minorEastAsia" w:eastAsiaTheme="minorEastAsia" w:cstheme="minorEastAsia"/>
          <w:sz w:val="18"/>
          <w:szCs w:val="18"/>
          <w:lang w:val="en-US" w:eastAsia="zh-CN"/>
        </w:rPr>
        <w:t>因素</w:t>
      </w:r>
      <w:r>
        <w:rPr>
          <w:rFonts w:hint="eastAsia" w:asciiTheme="minorEastAsia" w:hAnsiTheme="minorEastAsia" w:eastAsiaTheme="minorEastAsia" w:cstheme="minorEastAsia"/>
          <w:sz w:val="18"/>
          <w:szCs w:val="18"/>
          <w:lang w:val="de-DE"/>
        </w:rPr>
        <w:t>。</w:t>
      </w:r>
    </w:p>
    <w:p w14:paraId="6397ECE7">
      <w:pPr>
        <w:rPr>
          <w:rFonts w:hAnsi="黑体"/>
        </w:rPr>
      </w:pPr>
      <w:r>
        <w:rPr>
          <w:rFonts w:hint="eastAsia" w:hAnsi="黑体"/>
        </w:rPr>
        <w:br w:type="page"/>
      </w:r>
    </w:p>
    <w:p w14:paraId="71E939D7">
      <w:pPr>
        <w:pStyle w:val="139"/>
        <w:keepNext w:val="0"/>
        <w:pageBreakBefore w:val="0"/>
        <w:numPr>
          <w:ilvl w:val="0"/>
          <w:numId w:val="19"/>
        </w:numPr>
        <w:spacing w:before="0" w:after="0"/>
        <w:rPr>
          <w:rFonts w:hAnsi="黑体"/>
          <w:sz w:val="21"/>
          <w:szCs w:val="21"/>
        </w:rPr>
      </w:pPr>
      <w:bookmarkStart w:id="326" w:name="_Toc15261"/>
      <w:bookmarkStart w:id="327" w:name="_Toc6450"/>
      <w:r>
        <w:rPr>
          <w:rFonts w:hint="eastAsia" w:hAnsi="黑体"/>
          <w:sz w:val="21"/>
          <w:szCs w:val="21"/>
        </w:rPr>
        <w:t>附录B</w:t>
      </w:r>
      <w:bookmarkEnd w:id="326"/>
      <w:bookmarkEnd w:id="327"/>
    </w:p>
    <w:p w14:paraId="05931D2F">
      <w:pPr>
        <w:pStyle w:val="139"/>
        <w:keepNext w:val="0"/>
        <w:pageBreakBefore w:val="0"/>
        <w:numPr>
          <w:ilvl w:val="0"/>
          <w:numId w:val="19"/>
        </w:numPr>
        <w:spacing w:before="0" w:after="0" w:line="300" w:lineRule="auto"/>
        <w:rPr>
          <w:rFonts w:hAnsi="黑体"/>
          <w:sz w:val="21"/>
          <w:szCs w:val="21"/>
        </w:rPr>
      </w:pPr>
      <w:bookmarkStart w:id="328" w:name="_Toc16444"/>
      <w:bookmarkStart w:id="329" w:name="_Toc15246"/>
      <w:r>
        <w:rPr>
          <w:rFonts w:hint="eastAsia" w:hAnsi="黑体"/>
          <w:sz w:val="21"/>
          <w:szCs w:val="21"/>
        </w:rPr>
        <w:t>（资料性）</w:t>
      </w:r>
      <w:bookmarkEnd w:id="328"/>
      <w:bookmarkEnd w:id="329"/>
    </w:p>
    <w:p w14:paraId="6AEF9989">
      <w:pPr>
        <w:pStyle w:val="139"/>
        <w:keepNext w:val="0"/>
        <w:pageBreakBefore w:val="0"/>
        <w:numPr>
          <w:ilvl w:val="0"/>
          <w:numId w:val="19"/>
        </w:numPr>
        <w:spacing w:before="0" w:after="0" w:line="300" w:lineRule="auto"/>
        <w:rPr>
          <w:rFonts w:hAnsi="黑体"/>
          <w:sz w:val="21"/>
          <w:szCs w:val="21"/>
        </w:rPr>
      </w:pPr>
      <w:bookmarkStart w:id="330" w:name="_Toc29257"/>
      <w:bookmarkStart w:id="331" w:name="_Toc32734"/>
      <w:r>
        <w:rPr>
          <w:rFonts w:hint="eastAsia" w:hAnsi="黑体"/>
          <w:sz w:val="21"/>
          <w:szCs w:val="21"/>
        </w:rPr>
        <w:t>能力的</w:t>
      </w:r>
      <w:r>
        <w:rPr>
          <w:rFonts w:hint="eastAsia" w:hAnsi="黑体"/>
          <w:sz w:val="21"/>
          <w:szCs w:val="21"/>
          <w:lang w:val="en-US" w:eastAsia="zh-CN"/>
        </w:rPr>
        <w:t>其他</w:t>
      </w:r>
      <w:r>
        <w:rPr>
          <w:rFonts w:hint="eastAsia" w:hAnsi="黑体"/>
          <w:sz w:val="21"/>
          <w:szCs w:val="21"/>
        </w:rPr>
        <w:t>考虑</w:t>
      </w:r>
      <w:bookmarkEnd w:id="330"/>
      <w:bookmarkEnd w:id="331"/>
      <w:r>
        <w:rPr>
          <w:rFonts w:hint="eastAsia" w:hAnsi="黑体"/>
          <w:sz w:val="21"/>
          <w:szCs w:val="21"/>
          <w:lang w:val="en-US" w:eastAsia="zh-CN"/>
        </w:rPr>
        <w:t>因素</w:t>
      </w:r>
    </w:p>
    <w:p w14:paraId="1BEE78AF">
      <w:pPr>
        <w:pStyle w:val="70"/>
        <w:numPr>
          <w:ilvl w:val="0"/>
          <w:numId w:val="0"/>
        </w:numPr>
        <w:spacing w:before="156" w:after="156"/>
        <w:rPr>
          <w:rFonts w:hAnsi="黑体"/>
        </w:rPr>
      </w:pPr>
      <w:r>
        <w:rPr>
          <w:rFonts w:hint="eastAsia" w:hAnsi="黑体"/>
        </w:rPr>
        <w:t xml:space="preserve">B.1 </w:t>
      </w:r>
      <w:r>
        <w:rPr>
          <w:rFonts w:hint="eastAsia" w:hAnsi="黑体"/>
          <w:lang w:val="en-US" w:eastAsia="zh-CN"/>
        </w:rPr>
        <w:t xml:space="preserve"> </w:t>
      </w:r>
      <w:r>
        <w:rPr>
          <w:rFonts w:hint="eastAsia" w:hAnsi="黑体"/>
        </w:rPr>
        <w:t>通用</w:t>
      </w:r>
      <w:r>
        <w:rPr>
          <w:rFonts w:hAnsi="黑体"/>
        </w:rPr>
        <w:t>能力</w:t>
      </w:r>
    </w:p>
    <w:p w14:paraId="2590ECF3">
      <w:pPr>
        <w:ind w:firstLine="420" w:firstLineChars="200"/>
        <w:jc w:val="left"/>
        <w:rPr>
          <w:rFonts w:ascii="宋体" w:hAnsi="宋体"/>
          <w:szCs w:val="21"/>
        </w:rPr>
      </w:pPr>
      <w:r>
        <w:rPr>
          <w:rFonts w:ascii="宋体" w:hAnsi="宋体"/>
          <w:szCs w:val="21"/>
        </w:rPr>
        <w:t>审核员</w:t>
      </w:r>
      <w:r>
        <w:rPr>
          <w:rFonts w:hint="eastAsia" w:ascii="宋体" w:hAnsi="宋体"/>
          <w:szCs w:val="21"/>
        </w:rPr>
        <w:t>的</w:t>
      </w:r>
      <w:r>
        <w:rPr>
          <w:rFonts w:ascii="宋体" w:hAnsi="宋体"/>
          <w:szCs w:val="21"/>
        </w:rPr>
        <w:t>知识和经验</w:t>
      </w:r>
      <w:r>
        <w:rPr>
          <w:rFonts w:hint="eastAsia" w:ascii="宋体" w:hAnsi="宋体"/>
          <w:szCs w:val="21"/>
          <w:lang w:eastAsia="zh-CN"/>
        </w:rPr>
        <w:t>的</w:t>
      </w:r>
      <w:r>
        <w:rPr>
          <w:rFonts w:hint="eastAsia" w:ascii="宋体" w:hAnsi="宋体"/>
          <w:szCs w:val="21"/>
        </w:rPr>
        <w:t>证实</w:t>
      </w:r>
      <w:r>
        <w:rPr>
          <w:rFonts w:hint="eastAsia" w:ascii="宋体" w:hAnsi="宋体"/>
          <w:szCs w:val="21"/>
          <w:lang w:val="en-US" w:eastAsia="zh-CN"/>
        </w:rPr>
        <w:t>方法</w:t>
      </w:r>
      <w:r>
        <w:rPr>
          <w:rFonts w:hint="eastAsia" w:ascii="宋体" w:hAnsi="宋体"/>
          <w:szCs w:val="21"/>
        </w:rPr>
        <w:t>有</w:t>
      </w:r>
      <w:r>
        <w:rPr>
          <w:rFonts w:ascii="宋体" w:hAnsi="宋体"/>
          <w:szCs w:val="21"/>
        </w:rPr>
        <w:t>很多</w:t>
      </w:r>
      <w:r>
        <w:rPr>
          <w:rFonts w:hint="eastAsia" w:ascii="宋体" w:hAnsi="宋体"/>
          <w:szCs w:val="21"/>
        </w:rPr>
        <w:t>，例</w:t>
      </w:r>
      <w:r>
        <w:rPr>
          <w:rFonts w:ascii="宋体" w:hAnsi="宋体"/>
          <w:szCs w:val="21"/>
        </w:rPr>
        <w:t>如</w:t>
      </w:r>
      <w:r>
        <w:rPr>
          <w:rFonts w:hint="eastAsia" w:ascii="宋体" w:hAnsi="宋体"/>
          <w:szCs w:val="21"/>
        </w:rPr>
        <w:t>，通过使用获得承认的资格来评价知识和经验。人员认证方案下的注册记录也</w:t>
      </w:r>
      <w:r>
        <w:rPr>
          <w:rFonts w:hint="eastAsia" w:ascii="宋体" w:hAnsi="宋体"/>
          <w:szCs w:val="21"/>
          <w:lang w:val="en-US" w:eastAsia="zh-CN"/>
        </w:rPr>
        <w:t>能</w:t>
      </w:r>
      <w:r>
        <w:rPr>
          <w:rFonts w:ascii="宋体" w:hAnsi="宋体"/>
          <w:szCs w:val="21"/>
        </w:rPr>
        <w:t>用来</w:t>
      </w:r>
      <w:r>
        <w:rPr>
          <w:rFonts w:hint="eastAsia" w:ascii="宋体" w:hAnsi="宋体"/>
          <w:szCs w:val="21"/>
        </w:rPr>
        <w:t>评价所需</w:t>
      </w:r>
      <w:r>
        <w:rPr>
          <w:rFonts w:ascii="宋体" w:hAnsi="宋体"/>
          <w:szCs w:val="21"/>
        </w:rPr>
        <w:t>的知识和经验。</w:t>
      </w:r>
      <w:r>
        <w:rPr>
          <w:rFonts w:hint="eastAsia" w:ascii="宋体" w:hAnsi="宋体"/>
          <w:szCs w:val="21"/>
        </w:rPr>
        <w:t>宜确定</w:t>
      </w:r>
      <w:r>
        <w:rPr>
          <w:rFonts w:ascii="宋体" w:hAnsi="宋体"/>
          <w:szCs w:val="21"/>
        </w:rPr>
        <w:t>审核组</w:t>
      </w:r>
      <w:r>
        <w:rPr>
          <w:rFonts w:hint="eastAsia" w:ascii="宋体" w:hAnsi="宋体"/>
          <w:szCs w:val="21"/>
        </w:rPr>
        <w:t>所需的</w:t>
      </w:r>
      <w:r>
        <w:rPr>
          <w:rFonts w:ascii="宋体" w:hAnsi="宋体"/>
          <w:szCs w:val="21"/>
        </w:rPr>
        <w:t>能力水平</w:t>
      </w:r>
      <w:r>
        <w:rPr>
          <w:rFonts w:hint="eastAsia" w:ascii="宋体" w:hAnsi="宋体"/>
          <w:szCs w:val="21"/>
        </w:rPr>
        <w:t>，使其</w:t>
      </w:r>
      <w:r>
        <w:rPr>
          <w:rFonts w:hint="eastAsia" w:ascii="宋体" w:hAnsi="宋体"/>
          <w:szCs w:val="21"/>
          <w:lang w:val="en-US" w:eastAsia="zh-CN"/>
        </w:rPr>
        <w:t>能体现</w:t>
      </w:r>
      <w:r>
        <w:rPr>
          <w:rFonts w:ascii="宋体" w:hAnsi="宋体"/>
          <w:szCs w:val="21"/>
        </w:rPr>
        <w:t>组织的行业/技术领域和</w:t>
      </w:r>
      <w:r>
        <w:rPr>
          <w:rFonts w:hint="eastAsia" w:ascii="宋体" w:hAnsi="宋体"/>
          <w:szCs w:val="21"/>
        </w:rPr>
        <w:t>ISMS的</w:t>
      </w:r>
      <w:r>
        <w:rPr>
          <w:rFonts w:ascii="宋体" w:hAnsi="宋体"/>
          <w:szCs w:val="21"/>
        </w:rPr>
        <w:t>复杂性。</w:t>
      </w:r>
    </w:p>
    <w:p w14:paraId="1DB63ACC">
      <w:pPr>
        <w:pStyle w:val="70"/>
        <w:numPr>
          <w:ilvl w:val="0"/>
          <w:numId w:val="0"/>
        </w:numPr>
        <w:spacing w:before="156" w:after="156"/>
        <w:rPr>
          <w:rFonts w:hAnsi="黑体"/>
        </w:rPr>
      </w:pPr>
      <w:r>
        <w:rPr>
          <w:rFonts w:hint="eastAsia" w:hAnsi="黑体"/>
        </w:rPr>
        <w:t>B</w:t>
      </w:r>
      <w:r>
        <w:rPr>
          <w:rFonts w:hAnsi="黑体"/>
        </w:rPr>
        <w:t>.</w:t>
      </w:r>
      <w:r>
        <w:rPr>
          <w:rFonts w:hint="eastAsia" w:hAnsi="黑体"/>
        </w:rPr>
        <w:t xml:space="preserve">2 </w:t>
      </w:r>
      <w:r>
        <w:rPr>
          <w:rFonts w:hint="eastAsia" w:hAnsi="黑体"/>
          <w:lang w:val="en-US" w:eastAsia="zh-CN"/>
        </w:rPr>
        <w:t xml:space="preserve"> </w:t>
      </w:r>
      <w:r>
        <w:rPr>
          <w:rFonts w:hAnsi="黑体"/>
        </w:rPr>
        <w:t>特</w:t>
      </w:r>
      <w:r>
        <w:rPr>
          <w:rFonts w:hint="eastAsia" w:hAnsi="黑体"/>
        </w:rPr>
        <w:t>定知识和经验</w:t>
      </w:r>
    </w:p>
    <w:p w14:paraId="7B2F62E8">
      <w:pPr>
        <w:pStyle w:val="70"/>
        <w:numPr>
          <w:ilvl w:val="0"/>
          <w:numId w:val="0"/>
        </w:numPr>
        <w:spacing w:before="156" w:after="156"/>
        <w:rPr>
          <w:rFonts w:hAnsi="黑体"/>
        </w:rPr>
      </w:pPr>
      <w:r>
        <w:rPr>
          <w:rFonts w:hint="eastAsia" w:hAnsi="黑体"/>
        </w:rPr>
        <w:t>B</w:t>
      </w:r>
      <w:r>
        <w:rPr>
          <w:rFonts w:hAnsi="黑体"/>
        </w:rPr>
        <w:t>.</w:t>
      </w:r>
      <w:r>
        <w:rPr>
          <w:rFonts w:hint="eastAsia" w:hAnsi="黑体"/>
        </w:rPr>
        <w:t>2</w:t>
      </w:r>
      <w:r>
        <w:rPr>
          <w:rFonts w:hAnsi="黑体"/>
        </w:rPr>
        <w:t>.</w:t>
      </w:r>
      <w:r>
        <w:rPr>
          <w:rFonts w:hint="eastAsia" w:hAnsi="黑体"/>
        </w:rPr>
        <w:t xml:space="preserve">1 </w:t>
      </w:r>
      <w:r>
        <w:rPr>
          <w:rFonts w:hint="eastAsia" w:hAnsi="黑体"/>
          <w:lang w:val="en-US" w:eastAsia="zh-CN"/>
        </w:rPr>
        <w:t xml:space="preserve"> </w:t>
      </w:r>
      <w:r>
        <w:rPr>
          <w:rFonts w:hAnsi="黑体"/>
        </w:rPr>
        <w:t>与ISMS相关的典型知识</w:t>
      </w:r>
    </w:p>
    <w:p w14:paraId="042943A5">
      <w:pPr>
        <w:ind w:firstLine="420" w:firstLineChars="200"/>
        <w:jc w:val="left"/>
        <w:rPr>
          <w:rFonts w:ascii="宋体" w:hAnsi="宋体"/>
          <w:szCs w:val="21"/>
        </w:rPr>
      </w:pPr>
      <w:r>
        <w:rPr>
          <w:rFonts w:ascii="宋体" w:hAnsi="宋体"/>
          <w:szCs w:val="21"/>
        </w:rPr>
        <w:t>除</w:t>
      </w:r>
      <w:r>
        <w:rPr>
          <w:rFonts w:hint="eastAsia" w:ascii="宋体" w:hAnsi="宋体"/>
          <w:szCs w:val="21"/>
        </w:rPr>
        <w:t>7.1.3中的要求外，宜考虑以下</w:t>
      </w:r>
      <w:r>
        <w:rPr>
          <w:rFonts w:hint="eastAsia" w:ascii="宋体" w:hAnsi="宋体"/>
          <w:szCs w:val="21"/>
          <w:lang w:val="en-US" w:eastAsia="zh-CN"/>
        </w:rPr>
        <w:t>方面</w:t>
      </w:r>
      <w:r>
        <w:rPr>
          <w:rFonts w:hint="eastAsia" w:ascii="宋体" w:hAnsi="宋体"/>
          <w:szCs w:val="21"/>
        </w:rPr>
        <w:t>。</w:t>
      </w:r>
      <w:r>
        <w:rPr>
          <w:rFonts w:ascii="宋体" w:hAnsi="宋体"/>
          <w:szCs w:val="21"/>
        </w:rPr>
        <w:t>审核员宜具备下列审核和ISMS的知识：</w:t>
      </w:r>
    </w:p>
    <w:p w14:paraId="482ADF0E">
      <w:pPr>
        <w:tabs>
          <w:tab w:val="left" w:pos="1155"/>
        </w:tabs>
        <w:ind w:left="420"/>
        <w:rPr>
          <w:rFonts w:ascii="宋体" w:hAnsi="宋体"/>
          <w:szCs w:val="21"/>
        </w:rPr>
      </w:pPr>
      <w:r>
        <w:rPr>
          <w:szCs w:val="21"/>
        </w:rPr>
        <w:t>——</w:t>
      </w:r>
      <w:r>
        <w:rPr>
          <w:rFonts w:ascii="宋体" w:hAnsi="宋体"/>
          <w:szCs w:val="21"/>
        </w:rPr>
        <w:t>审核方案和</w:t>
      </w:r>
      <w:r>
        <w:rPr>
          <w:rFonts w:hint="eastAsia" w:ascii="宋体" w:hAnsi="宋体"/>
          <w:szCs w:val="21"/>
          <w:lang w:val="en-US" w:eastAsia="zh-CN"/>
        </w:rPr>
        <w:t>审核</w:t>
      </w:r>
      <w:r>
        <w:rPr>
          <w:rFonts w:hint="eastAsia" w:ascii="宋体" w:hAnsi="宋体"/>
          <w:szCs w:val="21"/>
        </w:rPr>
        <w:t>策划；</w:t>
      </w:r>
    </w:p>
    <w:p w14:paraId="062CE9B4">
      <w:pPr>
        <w:tabs>
          <w:tab w:val="left" w:pos="1155"/>
        </w:tabs>
        <w:ind w:left="420"/>
        <w:rPr>
          <w:rFonts w:ascii="宋体" w:hAnsi="宋体"/>
          <w:szCs w:val="21"/>
        </w:rPr>
      </w:pPr>
      <w:r>
        <w:rPr>
          <w:szCs w:val="21"/>
        </w:rPr>
        <w:t>——</w:t>
      </w:r>
      <w:r>
        <w:rPr>
          <w:rFonts w:ascii="宋体" w:hAnsi="宋体"/>
          <w:szCs w:val="21"/>
        </w:rPr>
        <w:t>审核类型和</w:t>
      </w:r>
      <w:r>
        <w:rPr>
          <w:rFonts w:hint="eastAsia" w:ascii="宋体" w:hAnsi="宋体"/>
          <w:szCs w:val="21"/>
          <w:lang w:val="en-US" w:eastAsia="zh-CN"/>
        </w:rPr>
        <w:t>审核</w:t>
      </w:r>
      <w:r>
        <w:rPr>
          <w:rFonts w:ascii="宋体" w:hAnsi="宋体"/>
          <w:szCs w:val="21"/>
        </w:rPr>
        <w:t>方法</w:t>
      </w:r>
      <w:r>
        <w:rPr>
          <w:rFonts w:hint="eastAsia" w:ascii="宋体" w:hAnsi="宋体"/>
          <w:szCs w:val="21"/>
        </w:rPr>
        <w:t>；</w:t>
      </w:r>
    </w:p>
    <w:p w14:paraId="7ADFE5F9">
      <w:pPr>
        <w:tabs>
          <w:tab w:val="left" w:pos="1155"/>
        </w:tabs>
        <w:ind w:left="420"/>
        <w:rPr>
          <w:rFonts w:ascii="宋体" w:hAnsi="宋体"/>
          <w:szCs w:val="21"/>
        </w:rPr>
      </w:pPr>
      <w:r>
        <w:rPr>
          <w:szCs w:val="21"/>
        </w:rPr>
        <w:t>——</w:t>
      </w:r>
      <w:r>
        <w:rPr>
          <w:rFonts w:ascii="宋体" w:hAnsi="宋体"/>
          <w:szCs w:val="21"/>
        </w:rPr>
        <w:t>审核风险</w:t>
      </w:r>
      <w:r>
        <w:rPr>
          <w:rFonts w:hint="eastAsia" w:ascii="宋体" w:hAnsi="宋体"/>
          <w:szCs w:val="21"/>
        </w:rPr>
        <w:t>；</w:t>
      </w:r>
    </w:p>
    <w:p w14:paraId="1DE5556A">
      <w:pPr>
        <w:tabs>
          <w:tab w:val="left" w:pos="1155"/>
        </w:tabs>
        <w:ind w:left="420"/>
        <w:rPr>
          <w:rFonts w:ascii="宋体" w:hAnsi="宋体"/>
          <w:szCs w:val="21"/>
        </w:rPr>
      </w:pPr>
      <w:r>
        <w:rPr>
          <w:szCs w:val="21"/>
        </w:rPr>
        <w:t>——</w:t>
      </w:r>
      <w:r>
        <w:rPr>
          <w:rFonts w:ascii="宋体" w:hAnsi="宋体"/>
          <w:szCs w:val="21"/>
        </w:rPr>
        <w:t>信息安全过程分析</w:t>
      </w:r>
      <w:r>
        <w:rPr>
          <w:rFonts w:hint="eastAsia" w:ascii="宋体" w:hAnsi="宋体"/>
          <w:szCs w:val="21"/>
        </w:rPr>
        <w:t>；</w:t>
      </w:r>
    </w:p>
    <w:p w14:paraId="4E0952C9">
      <w:pPr>
        <w:tabs>
          <w:tab w:val="left" w:pos="1155"/>
        </w:tabs>
        <w:ind w:left="420"/>
        <w:rPr>
          <w:rFonts w:ascii="宋体" w:hAnsi="宋体"/>
          <w:szCs w:val="21"/>
        </w:rPr>
      </w:pPr>
      <w:r>
        <w:rPr>
          <w:szCs w:val="21"/>
        </w:rPr>
        <w:t>——</w:t>
      </w:r>
      <w:r>
        <w:rPr>
          <w:rFonts w:ascii="宋体" w:hAnsi="宋体"/>
          <w:szCs w:val="21"/>
        </w:rPr>
        <w:t>持续改进</w:t>
      </w:r>
      <w:r>
        <w:rPr>
          <w:rFonts w:hint="eastAsia" w:ascii="宋体" w:hAnsi="宋体"/>
          <w:szCs w:val="21"/>
        </w:rPr>
        <w:t>；</w:t>
      </w:r>
    </w:p>
    <w:p w14:paraId="22B773C8">
      <w:pPr>
        <w:tabs>
          <w:tab w:val="left" w:pos="1155"/>
        </w:tabs>
        <w:ind w:left="420"/>
        <w:rPr>
          <w:rFonts w:ascii="宋体" w:hAnsi="宋体"/>
          <w:szCs w:val="21"/>
        </w:rPr>
      </w:pPr>
      <w:r>
        <w:rPr>
          <w:szCs w:val="21"/>
        </w:rPr>
        <w:t>——</w:t>
      </w:r>
      <w:r>
        <w:rPr>
          <w:rFonts w:ascii="宋体" w:hAnsi="宋体"/>
          <w:szCs w:val="21"/>
        </w:rPr>
        <w:t>信息安全内部审核</w:t>
      </w:r>
      <w:r>
        <w:rPr>
          <w:rFonts w:hint="eastAsia" w:ascii="宋体" w:hAnsi="宋体"/>
          <w:szCs w:val="21"/>
        </w:rPr>
        <w:t>。</w:t>
      </w:r>
    </w:p>
    <w:p w14:paraId="72F10AAA">
      <w:pPr>
        <w:ind w:firstLine="420" w:firstLineChars="200"/>
        <w:jc w:val="left"/>
        <w:rPr>
          <w:rFonts w:ascii="宋体" w:hAnsi="宋体"/>
          <w:szCs w:val="21"/>
        </w:rPr>
      </w:pPr>
      <w:r>
        <w:rPr>
          <w:rFonts w:ascii="宋体" w:hAnsi="宋体"/>
          <w:szCs w:val="21"/>
        </w:rPr>
        <w:t>审核员宜具备下列</w:t>
      </w:r>
      <w:r>
        <w:rPr>
          <w:rFonts w:hint="eastAsia" w:ascii="宋体" w:hAnsi="宋体"/>
          <w:szCs w:val="21"/>
          <w:lang w:val="en-US" w:eastAsia="zh-CN"/>
        </w:rPr>
        <w:t>相关</w:t>
      </w:r>
      <w:r>
        <w:rPr>
          <w:rFonts w:ascii="宋体" w:hAnsi="宋体"/>
          <w:szCs w:val="21"/>
        </w:rPr>
        <w:t>法规要求</w:t>
      </w:r>
      <w:r>
        <w:rPr>
          <w:rFonts w:hint="eastAsia" w:ascii="宋体" w:hAnsi="宋体"/>
          <w:szCs w:val="21"/>
        </w:rPr>
        <w:t>的</w:t>
      </w:r>
      <w:r>
        <w:rPr>
          <w:rFonts w:ascii="宋体" w:hAnsi="宋体"/>
          <w:szCs w:val="21"/>
        </w:rPr>
        <w:t>知识：</w:t>
      </w:r>
    </w:p>
    <w:p w14:paraId="60E5C17A">
      <w:pPr>
        <w:tabs>
          <w:tab w:val="left" w:pos="1155"/>
        </w:tabs>
        <w:ind w:left="420"/>
        <w:rPr>
          <w:rFonts w:ascii="宋体" w:hAnsi="宋体"/>
          <w:szCs w:val="21"/>
        </w:rPr>
      </w:pPr>
      <w:r>
        <w:rPr>
          <w:szCs w:val="21"/>
        </w:rPr>
        <w:t>——</w:t>
      </w:r>
      <w:r>
        <w:rPr>
          <w:rFonts w:ascii="宋体" w:hAnsi="宋体"/>
          <w:szCs w:val="21"/>
        </w:rPr>
        <w:t>知识产权</w:t>
      </w:r>
      <w:r>
        <w:rPr>
          <w:rFonts w:hint="eastAsia" w:ascii="宋体" w:hAnsi="宋体"/>
          <w:szCs w:val="21"/>
        </w:rPr>
        <w:t>；</w:t>
      </w:r>
    </w:p>
    <w:p w14:paraId="49C94BF0">
      <w:pPr>
        <w:tabs>
          <w:tab w:val="left" w:pos="1155"/>
        </w:tabs>
        <w:ind w:left="420"/>
        <w:rPr>
          <w:rFonts w:ascii="宋体" w:hAnsi="宋体"/>
          <w:szCs w:val="21"/>
        </w:rPr>
      </w:pPr>
      <w:r>
        <w:rPr>
          <w:szCs w:val="21"/>
        </w:rPr>
        <w:t>——</w:t>
      </w:r>
      <w:r>
        <w:rPr>
          <w:rFonts w:ascii="宋体" w:hAnsi="宋体"/>
          <w:szCs w:val="21"/>
        </w:rPr>
        <w:t>组织记录的内容、保护和保</w:t>
      </w:r>
      <w:r>
        <w:rPr>
          <w:rFonts w:hint="eastAsia" w:ascii="宋体" w:hAnsi="宋体"/>
          <w:szCs w:val="21"/>
          <w:lang w:val="en-US" w:eastAsia="zh-CN"/>
        </w:rPr>
        <w:t>留</w:t>
      </w:r>
      <w:r>
        <w:rPr>
          <w:rFonts w:hint="eastAsia" w:ascii="宋体" w:hAnsi="宋体"/>
          <w:szCs w:val="21"/>
        </w:rPr>
        <w:t>；</w:t>
      </w:r>
    </w:p>
    <w:p w14:paraId="1159003E">
      <w:pPr>
        <w:tabs>
          <w:tab w:val="left" w:pos="1155"/>
        </w:tabs>
        <w:ind w:left="420"/>
        <w:rPr>
          <w:rFonts w:ascii="宋体" w:hAnsi="宋体"/>
          <w:szCs w:val="21"/>
        </w:rPr>
      </w:pPr>
      <w:r>
        <w:rPr>
          <w:szCs w:val="21"/>
        </w:rPr>
        <w:t>——</w:t>
      </w:r>
      <w:r>
        <w:rPr>
          <w:rFonts w:ascii="宋体" w:hAnsi="宋体"/>
          <w:szCs w:val="21"/>
        </w:rPr>
        <w:t>数据保护与隐私</w:t>
      </w:r>
      <w:r>
        <w:rPr>
          <w:rFonts w:hint="eastAsia" w:ascii="宋体" w:hAnsi="宋体"/>
          <w:szCs w:val="21"/>
        </w:rPr>
        <w:t>；</w:t>
      </w:r>
    </w:p>
    <w:p w14:paraId="5F45FB92">
      <w:pPr>
        <w:tabs>
          <w:tab w:val="left" w:pos="1155"/>
        </w:tabs>
        <w:ind w:left="420"/>
        <w:rPr>
          <w:rFonts w:ascii="宋体" w:hAnsi="宋体"/>
          <w:szCs w:val="21"/>
        </w:rPr>
      </w:pPr>
      <w:r>
        <w:rPr>
          <w:szCs w:val="21"/>
        </w:rPr>
        <w:t>——</w:t>
      </w:r>
      <w:r>
        <w:rPr>
          <w:rFonts w:hint="eastAsia" w:ascii="宋体" w:hAnsi="宋体"/>
          <w:szCs w:val="21"/>
        </w:rPr>
        <w:t>密码控制</w:t>
      </w:r>
      <w:r>
        <w:rPr>
          <w:rFonts w:hint="eastAsia" w:ascii="宋体" w:hAnsi="宋体"/>
          <w:szCs w:val="21"/>
          <w:lang w:eastAsia="zh-CN"/>
        </w:rPr>
        <w:t>的</w:t>
      </w:r>
      <w:r>
        <w:rPr>
          <w:rFonts w:hint="eastAsia" w:ascii="宋体" w:hAnsi="宋体"/>
          <w:szCs w:val="21"/>
          <w:lang w:val="en-US" w:eastAsia="zh-CN"/>
        </w:rPr>
        <w:t>法规</w:t>
      </w:r>
      <w:r>
        <w:rPr>
          <w:rFonts w:hint="eastAsia" w:ascii="宋体" w:hAnsi="宋体"/>
          <w:szCs w:val="21"/>
        </w:rPr>
        <w:t>；</w:t>
      </w:r>
    </w:p>
    <w:p w14:paraId="1190D616">
      <w:pPr>
        <w:tabs>
          <w:tab w:val="left" w:pos="1155"/>
        </w:tabs>
        <w:ind w:left="420"/>
        <w:rPr>
          <w:rFonts w:ascii="宋体" w:hAnsi="宋体"/>
          <w:szCs w:val="21"/>
        </w:rPr>
      </w:pPr>
      <w:r>
        <w:rPr>
          <w:szCs w:val="21"/>
        </w:rPr>
        <w:t>——</w:t>
      </w:r>
      <w:r>
        <w:rPr>
          <w:rFonts w:ascii="宋体" w:hAnsi="宋体"/>
          <w:szCs w:val="21"/>
        </w:rPr>
        <w:t>电子商务</w:t>
      </w:r>
      <w:r>
        <w:rPr>
          <w:rFonts w:hint="eastAsia" w:ascii="宋体" w:hAnsi="宋体"/>
          <w:szCs w:val="21"/>
        </w:rPr>
        <w:t>；</w:t>
      </w:r>
    </w:p>
    <w:p w14:paraId="45DEECCF">
      <w:pPr>
        <w:tabs>
          <w:tab w:val="left" w:pos="1155"/>
        </w:tabs>
        <w:ind w:left="420"/>
        <w:rPr>
          <w:rFonts w:ascii="宋体" w:hAnsi="宋体"/>
          <w:szCs w:val="21"/>
        </w:rPr>
      </w:pPr>
      <w:r>
        <w:rPr>
          <w:szCs w:val="21"/>
        </w:rPr>
        <w:t>——</w:t>
      </w:r>
      <w:r>
        <w:rPr>
          <w:rFonts w:ascii="宋体" w:hAnsi="宋体"/>
          <w:szCs w:val="21"/>
        </w:rPr>
        <w:t>电子签名</w:t>
      </w:r>
      <w:r>
        <w:rPr>
          <w:rFonts w:hint="eastAsia" w:ascii="宋体" w:hAnsi="宋体"/>
          <w:szCs w:val="21"/>
          <w:lang w:val="en-US" w:eastAsia="zh-CN"/>
        </w:rPr>
        <w:t>和</w:t>
      </w:r>
      <w:r>
        <w:rPr>
          <w:rFonts w:ascii="宋体" w:hAnsi="宋体"/>
          <w:szCs w:val="21"/>
        </w:rPr>
        <w:t>数字签名</w:t>
      </w:r>
      <w:r>
        <w:rPr>
          <w:rFonts w:hint="eastAsia" w:ascii="宋体" w:hAnsi="宋体"/>
          <w:szCs w:val="21"/>
        </w:rPr>
        <w:t>；</w:t>
      </w:r>
    </w:p>
    <w:p w14:paraId="34C5A0DF">
      <w:pPr>
        <w:tabs>
          <w:tab w:val="left" w:pos="1155"/>
        </w:tabs>
        <w:ind w:left="420"/>
        <w:rPr>
          <w:rFonts w:ascii="宋体" w:hAnsi="宋体"/>
          <w:szCs w:val="21"/>
        </w:rPr>
      </w:pPr>
      <w:r>
        <w:rPr>
          <w:szCs w:val="21"/>
        </w:rPr>
        <w:t>——</w:t>
      </w:r>
      <w:r>
        <w:rPr>
          <w:rFonts w:ascii="宋体" w:hAnsi="宋体"/>
          <w:szCs w:val="21"/>
        </w:rPr>
        <w:t>工作场所</w:t>
      </w:r>
      <w:r>
        <w:rPr>
          <w:rFonts w:hint="eastAsia" w:ascii="宋体" w:hAnsi="宋体"/>
          <w:szCs w:val="21"/>
          <w:lang w:val="en-US" w:eastAsia="zh-CN"/>
        </w:rPr>
        <w:t>监控</w:t>
      </w:r>
      <w:r>
        <w:rPr>
          <w:rFonts w:hint="eastAsia" w:ascii="宋体" w:hAnsi="宋体"/>
          <w:szCs w:val="21"/>
        </w:rPr>
        <w:t>；</w:t>
      </w:r>
    </w:p>
    <w:p w14:paraId="112D4DD3">
      <w:pPr>
        <w:tabs>
          <w:tab w:val="left" w:pos="1155"/>
        </w:tabs>
        <w:ind w:left="420"/>
        <w:rPr>
          <w:rFonts w:ascii="宋体" w:hAnsi="宋体"/>
          <w:szCs w:val="21"/>
        </w:rPr>
      </w:pPr>
      <w:r>
        <w:rPr>
          <w:szCs w:val="21"/>
        </w:rPr>
        <w:t>——</w:t>
      </w:r>
      <w:r>
        <w:rPr>
          <w:rFonts w:ascii="宋体" w:hAnsi="宋体"/>
          <w:szCs w:val="21"/>
        </w:rPr>
        <w:t>通信侦听</w:t>
      </w:r>
      <w:r>
        <w:rPr>
          <w:rFonts w:hint="eastAsia" w:ascii="宋体" w:hAnsi="宋体"/>
          <w:szCs w:val="21"/>
          <w:lang w:val="en-US" w:eastAsia="zh-CN"/>
        </w:rPr>
        <w:t>和</w:t>
      </w:r>
      <w:r>
        <w:rPr>
          <w:rFonts w:ascii="宋体" w:hAnsi="宋体"/>
          <w:szCs w:val="21"/>
        </w:rPr>
        <w:t>数据监视（</w:t>
      </w:r>
      <w:r>
        <w:rPr>
          <w:rFonts w:hint="eastAsia" w:ascii="宋体" w:hAnsi="宋体"/>
          <w:szCs w:val="21"/>
        </w:rPr>
        <w:t>例如，</w:t>
      </w:r>
      <w:r>
        <w:rPr>
          <w:rFonts w:ascii="宋体" w:hAnsi="宋体"/>
          <w:szCs w:val="21"/>
        </w:rPr>
        <w:t>电子邮件）</w:t>
      </w:r>
      <w:r>
        <w:rPr>
          <w:rFonts w:hint="eastAsia" w:ascii="宋体" w:hAnsi="宋体"/>
          <w:szCs w:val="21"/>
        </w:rPr>
        <w:t>；</w:t>
      </w:r>
    </w:p>
    <w:p w14:paraId="18976F1B">
      <w:pPr>
        <w:tabs>
          <w:tab w:val="left" w:pos="1155"/>
        </w:tabs>
        <w:ind w:left="420"/>
        <w:rPr>
          <w:rFonts w:ascii="宋体" w:hAnsi="宋体"/>
          <w:szCs w:val="21"/>
        </w:rPr>
      </w:pPr>
      <w:r>
        <w:rPr>
          <w:szCs w:val="21"/>
        </w:rPr>
        <w:t>——</w:t>
      </w:r>
      <w:r>
        <w:rPr>
          <w:rFonts w:ascii="宋体" w:hAnsi="宋体"/>
          <w:szCs w:val="21"/>
        </w:rPr>
        <w:t>计算机滥用</w:t>
      </w:r>
      <w:r>
        <w:rPr>
          <w:rFonts w:hint="eastAsia" w:ascii="宋体" w:hAnsi="宋体"/>
          <w:szCs w:val="21"/>
        </w:rPr>
        <w:t>；</w:t>
      </w:r>
    </w:p>
    <w:p w14:paraId="69281A86">
      <w:pPr>
        <w:tabs>
          <w:tab w:val="left" w:pos="1155"/>
        </w:tabs>
        <w:ind w:left="420"/>
        <w:rPr>
          <w:rFonts w:ascii="宋体" w:hAnsi="宋体"/>
          <w:szCs w:val="21"/>
        </w:rPr>
      </w:pPr>
      <w:r>
        <w:rPr>
          <w:szCs w:val="21"/>
        </w:rPr>
        <w:t>——</w:t>
      </w:r>
      <w:r>
        <w:rPr>
          <w:rFonts w:ascii="宋体" w:hAnsi="宋体"/>
          <w:szCs w:val="21"/>
        </w:rPr>
        <w:t>电子证据收集</w:t>
      </w:r>
      <w:r>
        <w:rPr>
          <w:rFonts w:hint="eastAsia" w:ascii="宋体" w:hAnsi="宋体"/>
          <w:szCs w:val="21"/>
        </w:rPr>
        <w:t>；</w:t>
      </w:r>
    </w:p>
    <w:p w14:paraId="24731D3D">
      <w:pPr>
        <w:tabs>
          <w:tab w:val="left" w:pos="1155"/>
        </w:tabs>
        <w:ind w:left="420"/>
        <w:rPr>
          <w:rFonts w:ascii="宋体" w:hAnsi="宋体"/>
          <w:szCs w:val="21"/>
        </w:rPr>
      </w:pPr>
      <w:r>
        <w:rPr>
          <w:szCs w:val="21"/>
        </w:rPr>
        <w:t>——</w:t>
      </w:r>
      <w:r>
        <w:rPr>
          <w:rFonts w:ascii="宋体" w:hAnsi="宋体"/>
          <w:szCs w:val="21"/>
        </w:rPr>
        <w:t>渗透测试</w:t>
      </w:r>
      <w:r>
        <w:rPr>
          <w:rFonts w:hint="eastAsia" w:ascii="宋体" w:hAnsi="宋体"/>
          <w:szCs w:val="21"/>
        </w:rPr>
        <w:t>；</w:t>
      </w:r>
    </w:p>
    <w:p w14:paraId="33472454">
      <w:pPr>
        <w:tabs>
          <w:tab w:val="left" w:pos="1155"/>
        </w:tabs>
        <w:ind w:left="420"/>
        <w:rPr>
          <w:rFonts w:hint="eastAsia" w:ascii="宋体" w:hAnsi="宋体"/>
          <w:szCs w:val="21"/>
        </w:rPr>
      </w:pPr>
      <w:r>
        <w:rPr>
          <w:szCs w:val="21"/>
        </w:rPr>
        <w:t>——</w:t>
      </w:r>
      <w:r>
        <w:rPr>
          <w:rFonts w:ascii="宋体" w:hAnsi="宋体"/>
          <w:szCs w:val="21"/>
        </w:rPr>
        <w:t>国际和国家</w:t>
      </w:r>
      <w:r>
        <w:rPr>
          <w:rFonts w:hint="eastAsia" w:ascii="宋体" w:hAnsi="宋体"/>
          <w:szCs w:val="21"/>
          <w:lang w:val="en-US" w:eastAsia="zh-CN"/>
        </w:rPr>
        <w:t>层面针对特定</w:t>
      </w:r>
      <w:r>
        <w:rPr>
          <w:rFonts w:hint="eastAsia" w:ascii="宋体" w:hAnsi="宋体"/>
          <w:szCs w:val="21"/>
        </w:rPr>
        <w:t>行业</w:t>
      </w:r>
      <w:r>
        <w:rPr>
          <w:rFonts w:ascii="宋体" w:hAnsi="宋体"/>
          <w:szCs w:val="21"/>
        </w:rPr>
        <w:t>（</w:t>
      </w:r>
      <w:r>
        <w:rPr>
          <w:rFonts w:hint="eastAsia" w:ascii="宋体" w:hAnsi="宋体"/>
          <w:szCs w:val="21"/>
        </w:rPr>
        <w:t>例如，银行业</w:t>
      </w:r>
      <w:r>
        <w:rPr>
          <w:rFonts w:ascii="宋体" w:hAnsi="宋体"/>
          <w:szCs w:val="21"/>
        </w:rPr>
        <w:t>）</w:t>
      </w:r>
      <w:r>
        <w:rPr>
          <w:rFonts w:hint="eastAsia" w:ascii="宋体" w:hAnsi="宋体"/>
          <w:szCs w:val="21"/>
          <w:lang w:eastAsia="zh-CN"/>
        </w:rPr>
        <w:t>的</w:t>
      </w:r>
      <w:r>
        <w:rPr>
          <w:rFonts w:hint="eastAsia" w:ascii="宋体" w:hAnsi="宋体"/>
          <w:szCs w:val="21"/>
          <w:lang w:val="en-US" w:eastAsia="zh-CN"/>
        </w:rPr>
        <w:t>要求</w:t>
      </w:r>
      <w:r>
        <w:rPr>
          <w:rFonts w:hint="eastAsia" w:ascii="宋体" w:hAnsi="宋体"/>
          <w:szCs w:val="21"/>
        </w:rPr>
        <w:t>。</w:t>
      </w:r>
    </w:p>
    <w:p w14:paraId="7EB1AFBF">
      <w:pPr>
        <w:ind w:left="0" w:firstLine="420" w:firstLineChars="200"/>
        <w:jc w:val="left"/>
        <w:rPr>
          <w:rFonts w:hint="eastAsia" w:ascii="宋体" w:hAnsi="宋体"/>
          <w:szCs w:val="21"/>
        </w:rPr>
      </w:pPr>
      <w:r>
        <w:rPr>
          <w:rFonts w:hint="eastAsia" w:ascii="宋体" w:hAnsi="宋体"/>
          <w:szCs w:val="21"/>
          <w:lang w:val="en-US" w:eastAsia="zh-CN"/>
        </w:rPr>
        <w:t>特定标准（如ISO/IEC TS 27006-2）可能针对特定领域提出审核员宜具备的知识。</w:t>
      </w:r>
    </w:p>
    <w:p w14:paraId="33C894C5">
      <w:pPr>
        <w:spacing w:line="300" w:lineRule="auto"/>
        <w:rPr>
          <w:rFonts w:ascii="宋体" w:hAnsi="宋体"/>
          <w:szCs w:val="21"/>
        </w:rPr>
      </w:pPr>
    </w:p>
    <w:p w14:paraId="2845A37E">
      <w:pPr>
        <w:rPr>
          <w:rFonts w:ascii="宋体" w:hAnsi="宋体"/>
          <w:szCs w:val="21"/>
        </w:rPr>
      </w:pPr>
    </w:p>
    <w:p w14:paraId="66599FC1">
      <w:pPr>
        <w:pStyle w:val="139"/>
        <w:keepNext w:val="0"/>
        <w:pageBreakBefore w:val="0"/>
        <w:numPr>
          <w:ilvl w:val="0"/>
          <w:numId w:val="19"/>
        </w:numPr>
        <w:spacing w:before="0" w:after="0" w:line="300" w:lineRule="auto"/>
        <w:rPr>
          <w:rFonts w:hAnsi="黑体"/>
          <w:sz w:val="21"/>
          <w:szCs w:val="21"/>
        </w:rPr>
      </w:pPr>
      <w:r>
        <w:rPr>
          <w:rFonts w:ascii="宋体" w:hAnsi="宋体" w:eastAsia="宋体"/>
          <w:sz w:val="21"/>
          <w:szCs w:val="21"/>
        </w:rPr>
        <w:br w:type="page"/>
      </w:r>
      <w:bookmarkStart w:id="332" w:name="_Toc30951"/>
      <w:bookmarkStart w:id="333" w:name="_Toc20512"/>
      <w:bookmarkStart w:id="334" w:name="_Toc496168591"/>
      <w:bookmarkStart w:id="335" w:name="_Toc434010484"/>
      <w:r>
        <w:rPr>
          <w:rFonts w:hint="eastAsia" w:hAnsi="黑体"/>
          <w:sz w:val="21"/>
          <w:szCs w:val="21"/>
        </w:rPr>
        <w:t>附录C</w:t>
      </w:r>
      <w:bookmarkEnd w:id="332"/>
      <w:bookmarkEnd w:id="333"/>
      <w:bookmarkEnd w:id="334"/>
    </w:p>
    <w:p w14:paraId="6536E4C9">
      <w:pPr>
        <w:pStyle w:val="139"/>
        <w:keepNext w:val="0"/>
        <w:pageBreakBefore w:val="0"/>
        <w:numPr>
          <w:ilvl w:val="0"/>
          <w:numId w:val="19"/>
        </w:numPr>
        <w:spacing w:before="0" w:after="0" w:line="300" w:lineRule="auto"/>
        <w:rPr>
          <w:rFonts w:hAnsi="黑体"/>
          <w:sz w:val="21"/>
          <w:szCs w:val="21"/>
        </w:rPr>
      </w:pPr>
      <w:bookmarkStart w:id="336" w:name="_Toc496168592"/>
      <w:bookmarkStart w:id="337" w:name="_Toc32629"/>
      <w:bookmarkStart w:id="338" w:name="_Toc9067"/>
      <w:r>
        <w:rPr>
          <w:rFonts w:hint="eastAsia" w:hAnsi="黑体"/>
          <w:sz w:val="21"/>
          <w:szCs w:val="21"/>
        </w:rPr>
        <w:t>（规范性）</w:t>
      </w:r>
      <w:bookmarkEnd w:id="335"/>
      <w:bookmarkEnd w:id="336"/>
      <w:bookmarkEnd w:id="337"/>
      <w:bookmarkEnd w:id="338"/>
    </w:p>
    <w:p w14:paraId="2291D1FC">
      <w:pPr>
        <w:pStyle w:val="139"/>
        <w:keepNext w:val="0"/>
        <w:pageBreakBefore w:val="0"/>
        <w:numPr>
          <w:ilvl w:val="0"/>
          <w:numId w:val="19"/>
        </w:numPr>
        <w:spacing w:before="0" w:after="0" w:line="300" w:lineRule="auto"/>
        <w:rPr>
          <w:rFonts w:hAnsi="黑体"/>
          <w:sz w:val="21"/>
          <w:szCs w:val="21"/>
        </w:rPr>
      </w:pPr>
      <w:bookmarkStart w:id="339" w:name="_Toc27316"/>
      <w:bookmarkStart w:id="340" w:name="_Toc434010485"/>
      <w:bookmarkStart w:id="341" w:name="_Toc27158"/>
      <w:bookmarkStart w:id="342" w:name="_Toc496168593"/>
      <w:r>
        <w:rPr>
          <w:rFonts w:hint="eastAsia" w:hAnsi="黑体"/>
          <w:sz w:val="21"/>
          <w:szCs w:val="21"/>
        </w:rPr>
        <w:t>审核时间</w:t>
      </w:r>
      <w:bookmarkEnd w:id="339"/>
      <w:bookmarkEnd w:id="340"/>
      <w:bookmarkEnd w:id="341"/>
      <w:bookmarkEnd w:id="342"/>
    </w:p>
    <w:p w14:paraId="0B260D1D">
      <w:pPr>
        <w:pStyle w:val="70"/>
        <w:numPr>
          <w:ilvl w:val="0"/>
          <w:numId w:val="0"/>
        </w:numPr>
        <w:spacing w:before="156" w:after="156"/>
        <w:rPr>
          <w:rFonts w:hAnsi="黑体"/>
          <w:lang w:val="de-DE"/>
        </w:rPr>
      </w:pPr>
      <w:r>
        <w:rPr>
          <w:rFonts w:hint="eastAsia" w:hAnsi="黑体"/>
          <w:lang w:val="de-DE"/>
        </w:rPr>
        <w:t>C</w:t>
      </w:r>
      <w:r>
        <w:rPr>
          <w:rFonts w:hAnsi="黑体"/>
          <w:lang w:val="de-DE"/>
        </w:rPr>
        <w:t>.1</w:t>
      </w:r>
      <w:r>
        <w:rPr>
          <w:rFonts w:hint="eastAsia" w:hAnsi="黑体"/>
          <w:lang w:val="en-US" w:eastAsia="zh-CN"/>
        </w:rPr>
        <w:t xml:space="preserve">  </w:t>
      </w:r>
      <w:r>
        <w:rPr>
          <w:rFonts w:hint="eastAsia" w:hAnsi="黑体"/>
          <w:lang w:val="de-DE"/>
        </w:rPr>
        <w:t>概述</w:t>
      </w:r>
    </w:p>
    <w:p w14:paraId="104208AA">
      <w:pPr>
        <w:ind w:firstLine="420" w:firstLineChars="200"/>
        <w:rPr>
          <w:rFonts w:hint="eastAsia" w:ascii="宋体" w:hAnsi="宋体"/>
          <w:szCs w:val="21"/>
        </w:rPr>
      </w:pPr>
      <w:r>
        <w:rPr>
          <w:rFonts w:ascii="宋体" w:hAnsi="宋体"/>
          <w:szCs w:val="21"/>
        </w:rPr>
        <w:t>本附录进一步</w:t>
      </w:r>
      <w:r>
        <w:rPr>
          <w:rFonts w:hint="eastAsia" w:ascii="宋体" w:hAnsi="宋体"/>
          <w:szCs w:val="21"/>
          <w:lang w:val="en-US" w:eastAsia="zh-CN"/>
        </w:rPr>
        <w:t>给出</w:t>
      </w:r>
      <w:r>
        <w:rPr>
          <w:rFonts w:ascii="宋体" w:hAnsi="宋体"/>
          <w:szCs w:val="21"/>
        </w:rPr>
        <w:t>了与</w:t>
      </w:r>
      <w:r>
        <w:rPr>
          <w:rFonts w:hint="eastAsia" w:ascii="宋体" w:hAnsi="宋体"/>
          <w:szCs w:val="21"/>
        </w:rPr>
        <w:t>GB/T 27021.1</w:t>
      </w:r>
      <w:r>
        <w:rPr>
          <w:rFonts w:hint="eastAsia"/>
        </w:rPr>
        <w:t>—</w:t>
      </w:r>
      <w:r>
        <w:rPr>
          <w:rFonts w:hint="eastAsia" w:ascii="宋体" w:hAnsi="宋体"/>
          <w:szCs w:val="21"/>
        </w:rPr>
        <w:t>201</w:t>
      </w:r>
      <w:r>
        <w:rPr>
          <w:rFonts w:ascii="宋体" w:hAnsi="宋体"/>
          <w:szCs w:val="21"/>
        </w:rPr>
        <w:t>7</w:t>
      </w:r>
      <w:r>
        <w:rPr>
          <w:rFonts w:hint="eastAsia" w:ascii="宋体" w:hAnsi="宋体"/>
          <w:szCs w:val="21"/>
        </w:rPr>
        <w:t>中</w:t>
      </w:r>
      <w:r>
        <w:rPr>
          <w:rFonts w:ascii="宋体" w:hAnsi="宋体"/>
          <w:szCs w:val="21"/>
        </w:rPr>
        <w:t>9.1有关的要求。</w:t>
      </w:r>
      <w:r>
        <w:rPr>
          <w:rFonts w:hint="eastAsia" w:ascii="宋体" w:hAnsi="宋体"/>
          <w:szCs w:val="21"/>
        </w:rPr>
        <w:t>本附录为认证机构制定有关确定审核时间的程序提供了最低要求和指南，以便其在对涉及广泛的活动且具有不同规模和复杂度的ISMS范围实施认证时确定所需的时间。</w:t>
      </w:r>
    </w:p>
    <w:p w14:paraId="7A9A9E18">
      <w:pPr>
        <w:ind w:firstLine="420" w:firstLineChars="200"/>
        <w:rPr>
          <w:rFonts w:ascii="宋体" w:hAnsi="宋体"/>
          <w:szCs w:val="21"/>
        </w:rPr>
      </w:pPr>
      <w:r>
        <w:rPr>
          <w:rFonts w:hint="eastAsia" w:ascii="宋体" w:hAnsi="宋体"/>
          <w:szCs w:val="21"/>
        </w:rPr>
        <w:t>认证机构应允许审核员有</w:t>
      </w:r>
      <w:r>
        <w:rPr>
          <w:rFonts w:hint="eastAsia" w:ascii="宋体" w:hAnsi="宋体"/>
          <w:szCs w:val="21"/>
          <w:lang w:val="en-US" w:eastAsia="zh-CN"/>
        </w:rPr>
        <w:t>充足</w:t>
      </w:r>
      <w:r>
        <w:rPr>
          <w:rFonts w:hint="eastAsia" w:ascii="宋体" w:hAnsi="宋体"/>
          <w:szCs w:val="21"/>
        </w:rPr>
        <w:t>的时间</w:t>
      </w:r>
      <w:r>
        <w:rPr>
          <w:rFonts w:hint="eastAsia" w:ascii="宋体" w:hAnsi="宋体"/>
          <w:szCs w:val="21"/>
          <w:lang w:val="en-US" w:eastAsia="zh-CN"/>
        </w:rPr>
        <w:t>来开展</w:t>
      </w:r>
      <w:r>
        <w:rPr>
          <w:rFonts w:hint="eastAsia" w:ascii="宋体" w:hAnsi="宋体"/>
          <w:szCs w:val="21"/>
        </w:rPr>
        <w:t>与初次审核、监督审核或再认证审核相关的所有活动。总审核时间的计算应包括</w:t>
      </w:r>
      <w:r>
        <w:rPr>
          <w:rFonts w:hint="eastAsia" w:ascii="宋体" w:hAnsi="宋体"/>
          <w:szCs w:val="21"/>
          <w:lang w:val="en-US" w:eastAsia="zh-CN"/>
        </w:rPr>
        <w:t>报告审核情况所需的充足时间。</w:t>
      </w:r>
    </w:p>
    <w:p w14:paraId="7CF0B0E8">
      <w:pPr>
        <w:ind w:firstLine="420" w:firstLineChars="200"/>
        <w:rPr>
          <w:rFonts w:ascii="宋体" w:hAnsi="宋体"/>
          <w:szCs w:val="21"/>
        </w:rPr>
      </w:pPr>
      <w:r>
        <w:rPr>
          <w:rFonts w:ascii="宋体" w:hAnsi="宋体"/>
          <w:szCs w:val="21"/>
        </w:rPr>
        <w:t>认证机构应针对每个</w:t>
      </w:r>
      <w:r>
        <w:rPr>
          <w:rFonts w:hint="eastAsia" w:ascii="宋体" w:hAnsi="宋体"/>
          <w:szCs w:val="21"/>
        </w:rPr>
        <w:t>客户</w:t>
      </w:r>
      <w:r>
        <w:rPr>
          <w:rFonts w:hint="eastAsia" w:ascii="宋体" w:hAnsi="宋体"/>
          <w:szCs w:val="21"/>
          <w:lang w:val="en-US" w:eastAsia="zh-CN"/>
        </w:rPr>
        <w:t>和其获证</w:t>
      </w:r>
      <w:r>
        <w:rPr>
          <w:rFonts w:ascii="宋体" w:hAnsi="宋体"/>
          <w:szCs w:val="21"/>
        </w:rPr>
        <w:t>ISMS</w:t>
      </w:r>
      <w:r>
        <w:rPr>
          <w:rFonts w:hint="eastAsia" w:ascii="宋体" w:hAnsi="宋体"/>
          <w:szCs w:val="21"/>
        </w:rPr>
        <w:t>，</w:t>
      </w:r>
      <w:r>
        <w:rPr>
          <w:rFonts w:ascii="宋体" w:hAnsi="宋体"/>
          <w:szCs w:val="21"/>
        </w:rPr>
        <w:t>识别初次</w:t>
      </w:r>
      <w:r>
        <w:rPr>
          <w:rFonts w:hint="eastAsia" w:ascii="宋体" w:hAnsi="宋体"/>
          <w:szCs w:val="21"/>
        </w:rPr>
        <w:t>认证</w:t>
      </w:r>
      <w:r>
        <w:rPr>
          <w:rFonts w:ascii="宋体" w:hAnsi="宋体"/>
          <w:szCs w:val="21"/>
        </w:rPr>
        <w:t>、监督审核和再认证审核所</w:t>
      </w:r>
      <w:r>
        <w:rPr>
          <w:rFonts w:hint="eastAsia" w:ascii="宋体" w:hAnsi="宋体"/>
          <w:szCs w:val="21"/>
        </w:rPr>
        <w:t>需</w:t>
      </w:r>
      <w:r>
        <w:rPr>
          <w:rFonts w:ascii="宋体" w:hAnsi="宋体"/>
          <w:szCs w:val="21"/>
        </w:rPr>
        <w:t>的</w:t>
      </w:r>
      <w:r>
        <w:rPr>
          <w:rFonts w:hint="eastAsia" w:ascii="宋体" w:hAnsi="宋体"/>
          <w:szCs w:val="21"/>
        </w:rPr>
        <w:t>审核</w:t>
      </w:r>
      <w:r>
        <w:rPr>
          <w:rFonts w:ascii="宋体" w:hAnsi="宋体"/>
          <w:szCs w:val="21"/>
        </w:rPr>
        <w:t>时间。在审核</w:t>
      </w:r>
      <w:r>
        <w:rPr>
          <w:rFonts w:hint="eastAsia" w:ascii="宋体" w:hAnsi="宋体"/>
          <w:szCs w:val="21"/>
        </w:rPr>
        <w:t>策划</w:t>
      </w:r>
      <w:r>
        <w:rPr>
          <w:rFonts w:ascii="宋体" w:hAnsi="宋体"/>
          <w:szCs w:val="21"/>
        </w:rPr>
        <w:t>阶段</w:t>
      </w:r>
      <w:r>
        <w:rPr>
          <w:rFonts w:hint="eastAsia" w:ascii="宋体" w:hAnsi="宋体"/>
          <w:szCs w:val="21"/>
        </w:rPr>
        <w:t>，</w:t>
      </w:r>
      <w:r>
        <w:rPr>
          <w:rFonts w:ascii="宋体" w:hAnsi="宋体"/>
          <w:szCs w:val="21"/>
        </w:rPr>
        <w:t>使用本附录</w:t>
      </w:r>
      <w:r>
        <w:rPr>
          <w:rFonts w:hint="eastAsia" w:ascii="宋体" w:hAnsi="宋体"/>
          <w:szCs w:val="21"/>
          <w:lang w:val="en-US" w:eastAsia="zh-CN"/>
        </w:rPr>
        <w:t>能</w:t>
      </w:r>
      <w:r>
        <w:rPr>
          <w:rFonts w:ascii="宋体" w:hAnsi="宋体"/>
          <w:szCs w:val="21"/>
        </w:rPr>
        <w:t>确保</w:t>
      </w:r>
      <w:r>
        <w:rPr>
          <w:rFonts w:hint="eastAsia" w:ascii="宋体" w:hAnsi="宋体"/>
          <w:szCs w:val="21"/>
          <w:lang w:val="en-US" w:eastAsia="zh-CN"/>
        </w:rPr>
        <w:t>采用</w:t>
      </w:r>
      <w:r>
        <w:rPr>
          <w:rFonts w:ascii="宋体" w:hAnsi="宋体"/>
          <w:szCs w:val="21"/>
        </w:rPr>
        <w:t>一致</w:t>
      </w:r>
      <w:r>
        <w:rPr>
          <w:rFonts w:hint="eastAsia" w:ascii="宋体" w:hAnsi="宋体"/>
          <w:szCs w:val="21"/>
        </w:rPr>
        <w:t>的方法来</w:t>
      </w:r>
      <w:r>
        <w:rPr>
          <w:rFonts w:ascii="宋体" w:hAnsi="宋体"/>
          <w:szCs w:val="21"/>
        </w:rPr>
        <w:t>确定适当</w:t>
      </w:r>
      <w:r>
        <w:rPr>
          <w:rFonts w:hint="eastAsia" w:ascii="宋体" w:hAnsi="宋体"/>
          <w:szCs w:val="21"/>
        </w:rPr>
        <w:t>的审核</w:t>
      </w:r>
      <w:r>
        <w:rPr>
          <w:rFonts w:ascii="宋体" w:hAnsi="宋体"/>
          <w:szCs w:val="21"/>
        </w:rPr>
        <w:t>时间。此外，</w:t>
      </w:r>
      <w:r>
        <w:rPr>
          <w:rFonts w:hint="eastAsia" w:ascii="宋体" w:hAnsi="宋体"/>
          <w:szCs w:val="21"/>
        </w:rPr>
        <w:t>可以根据</w:t>
      </w:r>
      <w:r>
        <w:rPr>
          <w:rFonts w:ascii="宋体" w:hAnsi="宋体"/>
          <w:szCs w:val="21"/>
        </w:rPr>
        <w:t>审核过程</w:t>
      </w:r>
      <w:r>
        <w:rPr>
          <w:rFonts w:hint="eastAsia" w:ascii="宋体" w:hAnsi="宋体"/>
          <w:szCs w:val="21"/>
        </w:rPr>
        <w:t>（</w:t>
      </w:r>
      <w:r>
        <w:rPr>
          <w:rFonts w:ascii="宋体" w:hAnsi="宋体"/>
          <w:szCs w:val="21"/>
        </w:rPr>
        <w:t>尤其是</w:t>
      </w:r>
      <w:r>
        <w:rPr>
          <w:rFonts w:hint="eastAsia" w:ascii="宋体" w:hAnsi="宋体"/>
          <w:szCs w:val="21"/>
        </w:rPr>
        <w:t>第一</w:t>
      </w:r>
      <w:r>
        <w:rPr>
          <w:rFonts w:ascii="宋体" w:hAnsi="宋体"/>
          <w:szCs w:val="21"/>
        </w:rPr>
        <w:t>阶段</w:t>
      </w:r>
      <w:r>
        <w:rPr>
          <w:rFonts w:hint="eastAsia" w:ascii="宋体" w:hAnsi="宋体"/>
          <w:szCs w:val="21"/>
        </w:rPr>
        <w:t>）</w:t>
      </w:r>
      <w:r>
        <w:rPr>
          <w:rFonts w:ascii="宋体" w:hAnsi="宋体"/>
          <w:szCs w:val="21"/>
        </w:rPr>
        <w:t>的发现</w:t>
      </w:r>
      <w:r>
        <w:rPr>
          <w:rFonts w:hint="eastAsia" w:ascii="宋体" w:hAnsi="宋体"/>
          <w:szCs w:val="21"/>
        </w:rPr>
        <w:t>（</w:t>
      </w:r>
      <w:r>
        <w:rPr>
          <w:rFonts w:hint="eastAsia" w:ascii="宋体" w:hAnsi="宋体"/>
          <w:szCs w:val="21"/>
          <w:lang w:val="en-US" w:eastAsia="zh-CN"/>
        </w:rPr>
        <w:t>例</w:t>
      </w:r>
      <w:r>
        <w:rPr>
          <w:rFonts w:hint="eastAsia" w:ascii="宋体" w:hAnsi="宋体"/>
          <w:szCs w:val="21"/>
        </w:rPr>
        <w:t>如</w:t>
      </w:r>
      <w:r>
        <w:rPr>
          <w:rFonts w:hint="eastAsia" w:ascii="宋体" w:hAnsi="宋体"/>
          <w:szCs w:val="21"/>
          <w:lang w:eastAsia="zh-CN"/>
        </w:rPr>
        <w:t>，</w:t>
      </w:r>
      <w:r>
        <w:rPr>
          <w:rFonts w:hint="eastAsia" w:ascii="宋体" w:hAnsi="宋体"/>
          <w:szCs w:val="21"/>
        </w:rPr>
        <w:t>ISMS范围的复杂度的不同评价结果，或范围中增加的场所）</w:t>
      </w:r>
      <w:r>
        <w:rPr>
          <w:rFonts w:ascii="宋体" w:hAnsi="宋体"/>
          <w:szCs w:val="21"/>
        </w:rPr>
        <w:t>来调整审核时间</w:t>
      </w:r>
      <w:r>
        <w:rPr>
          <w:rFonts w:hint="eastAsia" w:ascii="宋体" w:hAnsi="宋体"/>
          <w:szCs w:val="21"/>
        </w:rPr>
        <w:t>。</w:t>
      </w:r>
    </w:p>
    <w:p w14:paraId="4C5748BA">
      <w:pPr>
        <w:ind w:firstLine="420" w:firstLineChars="200"/>
        <w:rPr>
          <w:rFonts w:ascii="宋体" w:hAnsi="宋体"/>
          <w:szCs w:val="21"/>
        </w:rPr>
      </w:pPr>
      <w:r>
        <w:rPr>
          <w:rFonts w:hint="eastAsia" w:ascii="宋体" w:hAnsi="宋体"/>
          <w:szCs w:val="21"/>
        </w:rPr>
        <w:t>本附录阐述了：</w:t>
      </w:r>
    </w:p>
    <w:p w14:paraId="1BB0741A">
      <w:pPr>
        <w:tabs>
          <w:tab w:val="left" w:pos="1155"/>
        </w:tabs>
        <w:ind w:firstLine="420" w:firstLineChars="200"/>
        <w:rPr>
          <w:rFonts w:ascii="宋体" w:hAnsi="宋体"/>
          <w:szCs w:val="21"/>
        </w:rPr>
      </w:pPr>
      <w:r>
        <w:rPr>
          <w:szCs w:val="21"/>
        </w:rPr>
        <w:t>——</w:t>
      </w:r>
      <w:r>
        <w:rPr>
          <w:rFonts w:hint="eastAsia" w:ascii="宋体" w:hAnsi="宋体"/>
          <w:szCs w:val="21"/>
        </w:rPr>
        <w:t>审核时间计算</w:t>
      </w:r>
      <w:r>
        <w:rPr>
          <w:rFonts w:hint="eastAsia" w:ascii="宋体" w:hAnsi="宋体"/>
          <w:szCs w:val="21"/>
          <w:lang w:val="en-US" w:eastAsia="zh-CN"/>
        </w:rPr>
        <w:t>所用</w:t>
      </w:r>
      <w:r>
        <w:rPr>
          <w:rFonts w:hint="eastAsia" w:ascii="宋体" w:hAnsi="宋体"/>
          <w:szCs w:val="21"/>
        </w:rPr>
        <w:t>的概念（见C.2</w:t>
      </w:r>
      <w:r>
        <w:rPr>
          <w:rFonts w:ascii="宋体" w:hAnsi="宋体"/>
          <w:szCs w:val="21"/>
        </w:rPr>
        <w:t>）</w:t>
      </w:r>
      <w:r>
        <w:rPr>
          <w:rFonts w:hint="eastAsia" w:ascii="宋体" w:hAnsi="宋体"/>
          <w:szCs w:val="21"/>
        </w:rPr>
        <w:t>；</w:t>
      </w:r>
    </w:p>
    <w:p w14:paraId="3F360212">
      <w:pPr>
        <w:ind w:firstLine="420" w:firstLineChars="200"/>
        <w:rPr>
          <w:rFonts w:hint="eastAsia" w:ascii="宋体" w:hAnsi="宋体"/>
          <w:szCs w:val="21"/>
        </w:rPr>
      </w:pPr>
      <w:r>
        <w:rPr>
          <w:szCs w:val="21"/>
        </w:rPr>
        <w:t>——</w:t>
      </w:r>
      <w:r>
        <w:rPr>
          <w:rFonts w:hint="eastAsia"/>
          <w:szCs w:val="21"/>
        </w:rPr>
        <w:t>确定</w:t>
      </w:r>
      <w:r>
        <w:rPr>
          <w:rFonts w:hint="eastAsia" w:ascii="宋体" w:hAnsi="宋体"/>
          <w:szCs w:val="21"/>
        </w:rPr>
        <w:t>初次审核不同阶段所需时间的程序的要求（见C.3）；</w:t>
      </w:r>
    </w:p>
    <w:p w14:paraId="153CE18E">
      <w:pPr>
        <w:ind w:firstLine="420" w:firstLineChars="200"/>
        <w:rPr>
          <w:rFonts w:ascii="宋体" w:hAnsi="宋体"/>
          <w:szCs w:val="21"/>
        </w:rPr>
      </w:pPr>
      <w:r>
        <w:rPr>
          <w:szCs w:val="21"/>
        </w:rPr>
        <w:t>——</w:t>
      </w:r>
      <w:r>
        <w:rPr>
          <w:rFonts w:ascii="宋体" w:hAnsi="宋体"/>
          <w:szCs w:val="21"/>
        </w:rPr>
        <w:t>监督</w:t>
      </w:r>
      <w:r>
        <w:rPr>
          <w:rFonts w:hint="default" w:ascii="宋体" w:hAnsi="宋体"/>
          <w:szCs w:val="21"/>
        </w:rPr>
        <w:t>审核</w:t>
      </w:r>
      <w:r>
        <w:rPr>
          <w:rFonts w:ascii="宋体" w:hAnsi="宋体"/>
          <w:szCs w:val="21"/>
        </w:rPr>
        <w:t>和再认证审核的审核时间要求（见C</w:t>
      </w:r>
      <w:r>
        <w:rPr>
          <w:rFonts w:hint="default" w:ascii="宋体" w:hAnsi="宋体"/>
          <w:szCs w:val="21"/>
        </w:rPr>
        <w:t>.4</w:t>
      </w:r>
      <w:r>
        <w:rPr>
          <w:rFonts w:hint="eastAsia" w:ascii="宋体" w:hAnsi="宋体"/>
          <w:szCs w:val="21"/>
          <w:lang w:eastAsia="zh-CN"/>
        </w:rPr>
        <w:t>、</w:t>
      </w:r>
      <w:r>
        <w:rPr>
          <w:rFonts w:ascii="宋体" w:hAnsi="宋体"/>
          <w:szCs w:val="21"/>
        </w:rPr>
        <w:t>C.5）；</w:t>
      </w:r>
    </w:p>
    <w:p w14:paraId="4F8096B5">
      <w:pPr>
        <w:ind w:firstLine="420" w:firstLineChars="200"/>
        <w:rPr>
          <w:rFonts w:hint="eastAsia" w:ascii="宋体" w:hAnsi="宋体"/>
          <w:szCs w:val="21"/>
        </w:rPr>
      </w:pPr>
      <w:r>
        <w:rPr>
          <w:szCs w:val="21"/>
        </w:rPr>
        <w:t>——</w:t>
      </w:r>
      <w:r>
        <w:rPr>
          <w:rFonts w:hint="eastAsia" w:ascii="宋体" w:hAnsi="宋体"/>
          <w:szCs w:val="21"/>
        </w:rPr>
        <w:t>与多场所审核相关的要求（见C.6）；</w:t>
      </w:r>
    </w:p>
    <w:p w14:paraId="16F3FD3E">
      <w:pPr>
        <w:ind w:firstLine="420" w:firstLineChars="200"/>
        <w:rPr>
          <w:rFonts w:ascii="宋体" w:hAnsi="宋体"/>
          <w:szCs w:val="21"/>
        </w:rPr>
      </w:pPr>
      <w:r>
        <w:rPr>
          <w:szCs w:val="21"/>
        </w:rPr>
        <w:t>——</w:t>
      </w:r>
      <w:r>
        <w:rPr>
          <w:rFonts w:ascii="宋体" w:hAnsi="宋体"/>
          <w:szCs w:val="21"/>
        </w:rPr>
        <w:t>扩大认证范围的审核时间要求（见C.7）。</w:t>
      </w:r>
    </w:p>
    <w:p w14:paraId="25D3FAEF">
      <w:pPr>
        <w:ind w:firstLine="420" w:firstLineChars="200"/>
        <w:rPr>
          <w:rFonts w:ascii="宋体" w:hAnsi="宋体"/>
          <w:szCs w:val="21"/>
        </w:rPr>
      </w:pPr>
      <w:r>
        <w:rPr>
          <w:rFonts w:hint="eastAsia" w:ascii="宋体" w:hAnsi="宋体"/>
          <w:szCs w:val="21"/>
        </w:rPr>
        <w:t>附录D给出了审核时间计算的示例，对本附录的应用做出了说明。</w:t>
      </w:r>
    </w:p>
    <w:p w14:paraId="66B23544">
      <w:pPr>
        <w:ind w:firstLine="420" w:firstLineChars="200"/>
        <w:rPr>
          <w:rFonts w:ascii="宋体" w:hAnsi="宋体"/>
          <w:szCs w:val="21"/>
        </w:rPr>
      </w:pPr>
      <w:r>
        <w:rPr>
          <w:rFonts w:hint="eastAsia" w:ascii="宋体" w:hAnsi="宋体"/>
          <w:szCs w:val="21"/>
          <w:lang w:val="en-US" w:eastAsia="zh-CN"/>
        </w:rPr>
        <w:t>对</w:t>
      </w:r>
      <w:r>
        <w:rPr>
          <w:rFonts w:hint="eastAsia" w:ascii="宋体" w:hAnsi="宋体"/>
          <w:szCs w:val="21"/>
        </w:rPr>
        <w:t>本附录</w:t>
      </w:r>
      <w:r>
        <w:rPr>
          <w:rFonts w:hint="eastAsia" w:ascii="宋体" w:hAnsi="宋体"/>
          <w:szCs w:val="21"/>
          <w:lang w:eastAsia="zh-CN"/>
        </w:rPr>
        <w:t>的</w:t>
      </w:r>
      <w:r>
        <w:rPr>
          <w:rFonts w:hint="eastAsia" w:ascii="宋体" w:hAnsi="宋体"/>
          <w:szCs w:val="21"/>
        </w:rPr>
        <w:t>方法的基本假设是，确定审核时间的计算方案宜：</w:t>
      </w:r>
    </w:p>
    <w:p w14:paraId="53CB44AE">
      <w:pPr>
        <w:numPr>
          <w:ilvl w:val="0"/>
          <w:numId w:val="44"/>
        </w:numPr>
        <w:rPr>
          <w:rFonts w:ascii="宋体" w:hAnsi="宋体"/>
          <w:szCs w:val="21"/>
        </w:rPr>
      </w:pPr>
      <w:r>
        <w:rPr>
          <w:rFonts w:hint="eastAsia" w:ascii="宋体" w:hAnsi="宋体"/>
          <w:szCs w:val="21"/>
        </w:rPr>
        <w:t>仅考虑那些</w:t>
      </w:r>
      <w:r>
        <w:rPr>
          <w:rFonts w:hint="eastAsia" w:ascii="宋体" w:hAnsi="宋体"/>
          <w:szCs w:val="21"/>
          <w:lang w:val="en-US" w:eastAsia="zh-CN"/>
        </w:rPr>
        <w:t>能</w:t>
      </w:r>
      <w:r>
        <w:rPr>
          <w:rFonts w:hint="eastAsia" w:ascii="宋体" w:hAnsi="宋体"/>
          <w:szCs w:val="21"/>
        </w:rPr>
        <w:t>客观评价的属性</w:t>
      </w:r>
      <w:r>
        <w:rPr>
          <w:rFonts w:hint="eastAsia" w:ascii="宋体" w:hAnsi="宋体"/>
          <w:szCs w:val="21"/>
          <w:lang w:eastAsia="zh-CN"/>
        </w:rPr>
        <w:t>；</w:t>
      </w:r>
      <w:r>
        <w:rPr>
          <w:rFonts w:hint="eastAsia" w:ascii="宋体" w:hAnsi="宋体"/>
          <w:szCs w:val="21"/>
        </w:rPr>
        <w:t xml:space="preserve"> </w:t>
      </w:r>
    </w:p>
    <w:p w14:paraId="3B4D0626">
      <w:pPr>
        <w:numPr>
          <w:ilvl w:val="0"/>
          <w:numId w:val="44"/>
        </w:numPr>
        <w:rPr>
          <w:rFonts w:ascii="宋体" w:hAnsi="宋体"/>
          <w:szCs w:val="21"/>
        </w:rPr>
      </w:pPr>
      <w:r>
        <w:rPr>
          <w:rFonts w:hint="eastAsia" w:ascii="宋体" w:hAnsi="宋体"/>
          <w:szCs w:val="21"/>
        </w:rPr>
        <w:t>足够</w:t>
      </w:r>
      <w:r>
        <w:rPr>
          <w:rFonts w:hint="eastAsia" w:ascii="宋体" w:hAnsi="宋体"/>
          <w:szCs w:val="21"/>
          <w:lang w:val="en-US" w:eastAsia="zh-CN"/>
        </w:rPr>
        <w:t>简单</w:t>
      </w:r>
      <w:r>
        <w:rPr>
          <w:rFonts w:hint="eastAsia" w:ascii="宋体" w:hAnsi="宋体"/>
          <w:szCs w:val="21"/>
        </w:rPr>
        <w:t>，使认证机构能够</w:t>
      </w:r>
      <w:r>
        <w:rPr>
          <w:rFonts w:hint="eastAsia" w:ascii="宋体" w:hAnsi="宋体"/>
          <w:szCs w:val="21"/>
          <w:lang w:val="en-US" w:eastAsia="zh-CN"/>
        </w:rPr>
        <w:t>应用它</w:t>
      </w:r>
      <w:r>
        <w:rPr>
          <w:rFonts w:hint="eastAsia" w:ascii="宋体" w:hAnsi="宋体"/>
          <w:szCs w:val="21"/>
        </w:rPr>
        <w:t>并获得有效、可比较和可</w:t>
      </w:r>
      <w:r>
        <w:rPr>
          <w:rFonts w:hint="eastAsia" w:ascii="宋体" w:hAnsi="宋体"/>
          <w:szCs w:val="21"/>
          <w:lang w:val="en-US" w:eastAsia="zh-CN"/>
        </w:rPr>
        <w:t>重现</w:t>
      </w:r>
      <w:r>
        <w:rPr>
          <w:rFonts w:hint="eastAsia" w:ascii="宋体" w:hAnsi="宋体"/>
          <w:szCs w:val="21"/>
        </w:rPr>
        <w:t>的结果</w:t>
      </w:r>
      <w:r>
        <w:rPr>
          <w:rFonts w:hint="eastAsia" w:ascii="宋体" w:hAnsi="宋体"/>
          <w:szCs w:val="21"/>
          <w:lang w:eastAsia="zh-CN"/>
        </w:rPr>
        <w:t>；</w:t>
      </w:r>
    </w:p>
    <w:p w14:paraId="37BE6554">
      <w:pPr>
        <w:numPr>
          <w:ilvl w:val="0"/>
          <w:numId w:val="44"/>
        </w:numPr>
        <w:rPr>
          <w:rFonts w:ascii="宋体" w:hAnsi="宋体"/>
          <w:szCs w:val="21"/>
        </w:rPr>
      </w:pPr>
      <w:r>
        <w:rPr>
          <w:rFonts w:hint="eastAsia" w:ascii="宋体" w:hAnsi="宋体"/>
          <w:szCs w:val="21"/>
        </w:rPr>
        <w:t>足够精确，确保属性值</w:t>
      </w:r>
      <w:r>
        <w:rPr>
          <w:rFonts w:hint="eastAsia" w:ascii="宋体" w:hAnsi="宋体"/>
          <w:szCs w:val="21"/>
          <w:lang w:eastAsia="zh-CN"/>
        </w:rPr>
        <w:t>的</w:t>
      </w:r>
      <w:r>
        <w:rPr>
          <w:rFonts w:hint="eastAsia" w:ascii="宋体" w:hAnsi="宋体"/>
          <w:szCs w:val="21"/>
        </w:rPr>
        <w:t>变化</w:t>
      </w:r>
      <w:r>
        <w:rPr>
          <w:rFonts w:hint="eastAsia" w:ascii="宋体" w:hAnsi="宋体"/>
          <w:szCs w:val="21"/>
          <w:lang w:val="en-US" w:eastAsia="zh-CN"/>
        </w:rPr>
        <w:t>将导致</w:t>
      </w:r>
      <w:r>
        <w:rPr>
          <w:rFonts w:hint="eastAsia" w:ascii="宋体" w:hAnsi="宋体"/>
          <w:szCs w:val="21"/>
        </w:rPr>
        <w:t>审核时间</w:t>
      </w:r>
      <w:r>
        <w:rPr>
          <w:rFonts w:hint="eastAsia" w:ascii="宋体" w:hAnsi="宋体"/>
          <w:szCs w:val="21"/>
          <w:lang w:val="en-US" w:eastAsia="zh-CN"/>
        </w:rPr>
        <w:t>发生</w:t>
      </w:r>
      <w:r>
        <w:rPr>
          <w:rFonts w:hint="eastAsia" w:ascii="宋体" w:hAnsi="宋体"/>
          <w:szCs w:val="21"/>
        </w:rPr>
        <w:t>可比较的变化。</w:t>
      </w:r>
    </w:p>
    <w:p w14:paraId="6E4B2134">
      <w:pPr>
        <w:ind w:firstLine="420" w:firstLineChars="200"/>
        <w:rPr>
          <w:rFonts w:hint="eastAsia" w:ascii="宋体" w:hAnsi="宋体"/>
          <w:szCs w:val="21"/>
        </w:rPr>
      </w:pPr>
      <w:r>
        <w:rPr>
          <w:rFonts w:hint="eastAsia" w:ascii="宋体" w:hAnsi="宋体"/>
          <w:szCs w:val="21"/>
        </w:rPr>
        <w:t>审核时间的确定，是基于表C.1</w:t>
      </w:r>
      <w:r>
        <w:rPr>
          <w:rFonts w:hint="eastAsia" w:ascii="宋体" w:hAnsi="宋体"/>
          <w:szCs w:val="21"/>
          <w:lang w:val="en-US" w:eastAsia="zh-CN"/>
        </w:rPr>
        <w:t>中</w:t>
      </w:r>
      <w:r>
        <w:rPr>
          <w:rFonts w:hint="eastAsia" w:ascii="宋体" w:hAnsi="宋体"/>
          <w:szCs w:val="21"/>
        </w:rPr>
        <w:t>的数值，并应考虑</w:t>
      </w:r>
      <w:r>
        <w:rPr>
          <w:rFonts w:hint="eastAsia" w:ascii="宋体" w:hAnsi="宋体"/>
          <w:szCs w:val="21"/>
          <w:lang w:val="en-US" w:eastAsia="zh-CN"/>
        </w:rPr>
        <w:t>审核时间调整</w:t>
      </w:r>
      <w:r>
        <w:rPr>
          <w:rFonts w:hint="eastAsia" w:ascii="宋体" w:hAnsi="宋体"/>
          <w:szCs w:val="21"/>
        </w:rPr>
        <w:t>因素。</w:t>
      </w:r>
    </w:p>
    <w:p w14:paraId="40F5421E">
      <w:pPr>
        <w:ind w:firstLine="420" w:firstLineChars="200"/>
        <w:rPr>
          <w:rFonts w:ascii="宋体" w:hAnsi="宋体"/>
          <w:szCs w:val="21"/>
        </w:rPr>
      </w:pPr>
      <w:r>
        <w:rPr>
          <w:rFonts w:hint="eastAsia" w:ascii="宋体" w:hAnsi="宋体"/>
          <w:szCs w:val="21"/>
        </w:rPr>
        <w:t>认证机构应定期</w:t>
      </w:r>
      <w:r>
        <w:rPr>
          <w:rFonts w:hint="eastAsia" w:ascii="宋体" w:hAnsi="宋体"/>
          <w:szCs w:val="21"/>
          <w:lang w:val="en-US" w:eastAsia="zh-CN"/>
        </w:rPr>
        <w:t>评审其</w:t>
      </w:r>
      <w:r>
        <w:rPr>
          <w:rFonts w:hint="eastAsia" w:ascii="宋体" w:hAnsi="宋体"/>
          <w:szCs w:val="21"/>
        </w:rPr>
        <w:t>确定审核时间的方法，以验证</w:t>
      </w:r>
      <w:r>
        <w:rPr>
          <w:rFonts w:hint="eastAsia" w:ascii="宋体" w:hAnsi="宋体"/>
          <w:szCs w:val="21"/>
          <w:lang w:val="en-US" w:eastAsia="zh-CN"/>
        </w:rPr>
        <w:t>其方法</w:t>
      </w:r>
      <w:r>
        <w:rPr>
          <w:rFonts w:hint="eastAsia" w:ascii="宋体" w:hAnsi="宋体"/>
          <w:szCs w:val="21"/>
        </w:rPr>
        <w:t>是否足以</w:t>
      </w:r>
      <w:r>
        <w:rPr>
          <w:rFonts w:hint="eastAsia" w:ascii="宋体" w:hAnsi="宋体"/>
          <w:szCs w:val="21"/>
          <w:lang w:val="en-US" w:eastAsia="zh-CN"/>
        </w:rPr>
        <w:t>体现</w:t>
      </w:r>
      <w:r>
        <w:rPr>
          <w:rFonts w:hint="eastAsia" w:ascii="宋体" w:hAnsi="宋体"/>
          <w:szCs w:val="21"/>
        </w:rPr>
        <w:t>ISMS的复杂性。</w:t>
      </w:r>
    </w:p>
    <w:p w14:paraId="72477376">
      <w:pPr>
        <w:pStyle w:val="70"/>
        <w:numPr>
          <w:ilvl w:val="0"/>
          <w:numId w:val="0"/>
        </w:numPr>
        <w:spacing w:before="156" w:after="156"/>
        <w:rPr>
          <w:rFonts w:hAnsi="黑体"/>
          <w:lang w:val="de-DE"/>
        </w:rPr>
      </w:pPr>
      <w:r>
        <w:rPr>
          <w:rFonts w:hint="eastAsia" w:hAnsi="黑体"/>
          <w:lang w:val="de-DE"/>
        </w:rPr>
        <w:t>C.2</w:t>
      </w:r>
      <w:r>
        <w:rPr>
          <w:rFonts w:hint="eastAsia" w:hAnsi="黑体"/>
          <w:lang w:val="en-US" w:eastAsia="zh-CN"/>
        </w:rPr>
        <w:t xml:space="preserve">  </w:t>
      </w:r>
      <w:r>
        <w:rPr>
          <w:rFonts w:hint="eastAsia" w:hAnsi="黑体"/>
        </w:rPr>
        <w:t>概念</w:t>
      </w:r>
    </w:p>
    <w:p w14:paraId="3C7107B6">
      <w:pPr>
        <w:pStyle w:val="70"/>
        <w:numPr>
          <w:ilvl w:val="0"/>
          <w:numId w:val="0"/>
        </w:numPr>
        <w:spacing w:before="156" w:after="156"/>
        <w:rPr>
          <w:rFonts w:hAnsi="黑体"/>
          <w:lang w:val="de-DE"/>
        </w:rPr>
      </w:pPr>
      <w:r>
        <w:rPr>
          <w:rFonts w:hint="eastAsia" w:hAnsi="黑体"/>
          <w:lang w:val="de-DE"/>
        </w:rPr>
        <w:t>C.2.1</w:t>
      </w:r>
      <w:r>
        <w:rPr>
          <w:rFonts w:hint="eastAsia" w:hAnsi="黑体"/>
          <w:lang w:val="en-US" w:eastAsia="zh-CN"/>
        </w:rPr>
        <w:t xml:space="preserve">  </w:t>
      </w:r>
      <w:r>
        <w:rPr>
          <w:rFonts w:hint="eastAsia" w:hAnsi="黑体"/>
          <w:lang w:val="de-DE"/>
        </w:rPr>
        <w:t>在组织控制下工作的人员的数量</w:t>
      </w:r>
    </w:p>
    <w:p w14:paraId="20ED9617">
      <w:pPr>
        <w:ind w:firstLine="420" w:firstLineChars="200"/>
        <w:rPr>
          <w:rFonts w:ascii="宋体" w:hAnsi="宋体"/>
          <w:szCs w:val="21"/>
          <w:u w:val="single"/>
        </w:rPr>
      </w:pPr>
      <w:r>
        <w:rPr>
          <w:rFonts w:hint="eastAsia" w:ascii="宋体" w:hAnsi="宋体"/>
          <w:szCs w:val="21"/>
        </w:rPr>
        <w:t>在认证范围内的、处于组织控制下工作的、所有班次的人员的总数，是确定审核时间的起点。</w:t>
      </w:r>
    </w:p>
    <w:p w14:paraId="2E301185">
      <w:pPr>
        <w:pStyle w:val="36"/>
        <w:ind w:firstLine="360"/>
        <w:rPr>
          <w:rFonts w:hAnsi="宋体"/>
          <w:sz w:val="18"/>
          <w:szCs w:val="18"/>
          <w:lang w:val="de-DE"/>
        </w:rPr>
      </w:pPr>
      <w:r>
        <w:rPr>
          <w:rFonts w:hint="eastAsia" w:ascii="黑体" w:hAnsi="黑体" w:eastAsia="黑体"/>
          <w:sz w:val="18"/>
          <w:szCs w:val="18"/>
          <w:lang w:val="de-DE"/>
        </w:rPr>
        <w:t>注：</w:t>
      </w:r>
      <w:r>
        <w:rPr>
          <w:rFonts w:hint="eastAsia" w:hAnsi="宋体"/>
          <w:sz w:val="18"/>
          <w:szCs w:val="18"/>
          <w:lang w:val="de-DE"/>
        </w:rPr>
        <w:t>在组织控制下工作的人员包括认证范围内要求按ISMS要求工作的所有人员(无论</w:t>
      </w:r>
      <w:r>
        <w:rPr>
          <w:rFonts w:hint="eastAsia" w:hAnsi="宋体"/>
          <w:sz w:val="18"/>
          <w:szCs w:val="18"/>
          <w:lang w:val="en-US" w:eastAsia="zh-CN"/>
        </w:rPr>
        <w:t>其</w:t>
      </w:r>
      <w:r>
        <w:rPr>
          <w:rFonts w:hint="eastAsia" w:hAnsi="宋体"/>
          <w:sz w:val="18"/>
          <w:szCs w:val="18"/>
          <w:lang w:val="de-DE"/>
        </w:rPr>
        <w:t>是否为组织成员)。</w:t>
      </w:r>
    </w:p>
    <w:p w14:paraId="6A399665">
      <w:pPr>
        <w:ind w:firstLine="420" w:firstLineChars="200"/>
        <w:rPr>
          <w:rFonts w:hint="eastAsia" w:ascii="宋体" w:hAnsi="宋体"/>
          <w:szCs w:val="21"/>
        </w:rPr>
      </w:pPr>
      <w:r>
        <w:rPr>
          <w:rFonts w:hint="eastAsia" w:ascii="宋体" w:hAnsi="宋体"/>
          <w:szCs w:val="21"/>
        </w:rPr>
        <w:t>在组织控制下工作的兼职人员，按照其工作小时数与在组织控制下工作的全职雇员的工作小时数的比例，计入在组织控制下工作的人员的数量。具体比例的确定，取决</w:t>
      </w:r>
      <w:r>
        <w:rPr>
          <w:rFonts w:hint="eastAsia" w:ascii="宋体" w:hAnsi="宋体"/>
          <w:szCs w:val="21"/>
          <w:lang w:val="en-US" w:eastAsia="zh-CN"/>
        </w:rPr>
        <w:t>于</w:t>
      </w:r>
      <w:r>
        <w:rPr>
          <w:rFonts w:hint="eastAsia" w:ascii="宋体" w:hAnsi="宋体"/>
          <w:szCs w:val="21"/>
        </w:rPr>
        <w:t>兼职人员工作小时数与全职雇员工作小时数的比较。</w:t>
      </w:r>
    </w:p>
    <w:p w14:paraId="40ED7279">
      <w:pPr>
        <w:pStyle w:val="36"/>
        <w:rPr>
          <w:rFonts w:ascii="宋体" w:hAnsi="宋体"/>
          <w:szCs w:val="21"/>
          <w:highlight w:val="none"/>
        </w:rPr>
      </w:pPr>
      <w:r>
        <w:rPr>
          <w:rFonts w:hint="eastAsia" w:hAnsi="宋体"/>
          <w:szCs w:val="21"/>
          <w:lang w:val="en-US" w:eastAsia="zh-CN"/>
        </w:rPr>
        <w:t>当</w:t>
      </w:r>
      <w:r>
        <w:rPr>
          <w:rFonts w:hint="eastAsia" w:hAnsi="宋体"/>
          <w:szCs w:val="21"/>
        </w:rPr>
        <w:t>在认证范围内、</w:t>
      </w:r>
      <w:r>
        <w:rPr>
          <w:rFonts w:hint="eastAsia" w:hAnsi="宋体"/>
          <w:szCs w:val="21"/>
          <w:lang w:val="en-US" w:eastAsia="zh-CN"/>
        </w:rPr>
        <w:t>处于</w:t>
      </w:r>
      <w:r>
        <w:rPr>
          <w:rFonts w:hint="eastAsia" w:hAnsi="宋体"/>
          <w:szCs w:val="21"/>
        </w:rPr>
        <w:t>组织控制下工作的人员中有很大比例从事某些相同的活动时，允许在使用表C.1计算审核时间之前减少人员数量。认证机构</w:t>
      </w:r>
      <w:r>
        <w:rPr>
          <w:rFonts w:hint="eastAsia" w:hAnsi="宋体"/>
          <w:szCs w:val="21"/>
          <w:lang w:val="en-US" w:eastAsia="zh-CN"/>
        </w:rPr>
        <w:t>在</w:t>
      </w:r>
      <w:r>
        <w:rPr>
          <w:rFonts w:hint="eastAsia" w:hAnsi="宋体"/>
          <w:szCs w:val="21"/>
        </w:rPr>
        <w:t>确定如何减少认证范围内</w:t>
      </w:r>
      <w:r>
        <w:rPr>
          <w:rFonts w:hint="eastAsia" w:hAnsi="宋体"/>
          <w:szCs w:val="21"/>
          <w:lang w:eastAsia="zh-CN"/>
        </w:rPr>
        <w:t>的</w:t>
      </w:r>
      <w:r>
        <w:rPr>
          <w:rFonts w:hint="eastAsia" w:hAnsi="宋体"/>
          <w:szCs w:val="21"/>
        </w:rPr>
        <w:t>人员数量</w:t>
      </w:r>
      <w:r>
        <w:rPr>
          <w:rFonts w:hint="eastAsia" w:hAnsi="宋体"/>
          <w:szCs w:val="21"/>
          <w:lang w:val="en-US" w:eastAsia="zh-CN"/>
        </w:rPr>
        <w:t>时，</w:t>
      </w:r>
      <w:r>
        <w:rPr>
          <w:rFonts w:hint="eastAsia" w:hAnsi="宋体"/>
          <w:szCs w:val="21"/>
        </w:rPr>
        <w:t>应</w:t>
      </w:r>
      <w:r>
        <w:rPr>
          <w:rFonts w:hint="eastAsia" w:hAnsi="宋体"/>
          <w:szCs w:val="21"/>
          <w:lang w:val="en-US" w:eastAsia="zh-CN"/>
        </w:rPr>
        <w:t>使用</w:t>
      </w:r>
      <w:r>
        <w:rPr>
          <w:rFonts w:hint="eastAsia" w:hAnsi="宋体"/>
          <w:szCs w:val="21"/>
        </w:rPr>
        <w:t>C.3.4给出的因素，并考虑活动对信息安全风险的影响。</w:t>
      </w:r>
      <w:r>
        <w:rPr>
          <w:rFonts w:hint="eastAsia" w:hAnsi="宋体"/>
          <w:szCs w:val="21"/>
          <w:highlight w:val="none"/>
          <w:lang w:val="en-US" w:eastAsia="zh-CN"/>
        </w:rPr>
        <w:t>一致的程序是能重复应用的且在应用时能考虑不同组织的具体情况。程序应形成文件</w:t>
      </w:r>
      <w:r>
        <w:rPr>
          <w:rFonts w:hint="eastAsia" w:hAnsi="宋体"/>
          <w:szCs w:val="21"/>
          <w:highlight w:val="none"/>
        </w:rPr>
        <w:t>。</w:t>
      </w:r>
    </w:p>
    <w:p w14:paraId="0A0A0508">
      <w:pPr>
        <w:pStyle w:val="70"/>
        <w:numPr>
          <w:ilvl w:val="0"/>
          <w:numId w:val="0"/>
        </w:numPr>
        <w:spacing w:before="156" w:after="156"/>
        <w:rPr>
          <w:rFonts w:hAnsi="黑体"/>
          <w:lang w:val="de-DE"/>
        </w:rPr>
      </w:pPr>
      <w:r>
        <w:rPr>
          <w:rFonts w:hint="eastAsia" w:hAnsi="黑体"/>
          <w:lang w:val="en-US" w:eastAsia="zh-CN"/>
        </w:rPr>
        <w:t>C</w:t>
      </w:r>
      <w:r>
        <w:rPr>
          <w:rFonts w:hint="eastAsia" w:hAnsi="黑体"/>
          <w:lang w:val="de-DE"/>
        </w:rPr>
        <w:t>.2.2</w:t>
      </w:r>
      <w:r>
        <w:rPr>
          <w:rFonts w:hint="eastAsia" w:hAnsi="黑体"/>
          <w:lang w:val="en-US" w:eastAsia="zh-CN"/>
        </w:rPr>
        <w:t xml:space="preserve">  </w:t>
      </w:r>
      <w:r>
        <w:rPr>
          <w:rFonts w:hint="eastAsia" w:hAnsi="黑体"/>
          <w:lang w:eastAsia="zh-CN"/>
        </w:rPr>
        <w:t>审核人日</w:t>
      </w:r>
      <w:r>
        <w:rPr>
          <w:rFonts w:hint="eastAsia" w:hAnsi="黑体"/>
          <w:lang w:val="de-DE"/>
        </w:rPr>
        <w:t xml:space="preserve"> </w:t>
      </w:r>
    </w:p>
    <w:p w14:paraId="276DE707">
      <w:pPr>
        <w:ind w:firstLine="420" w:firstLineChars="200"/>
        <w:rPr>
          <w:rFonts w:ascii="宋体" w:hAnsi="宋体"/>
          <w:szCs w:val="21"/>
        </w:rPr>
      </w:pPr>
      <w:r>
        <w:rPr>
          <w:rFonts w:hint="eastAsia" w:ascii="宋体" w:hAnsi="宋体"/>
          <w:szCs w:val="21"/>
        </w:rPr>
        <w:t>表C.1中的审核时间，是</w:t>
      </w:r>
      <w:r>
        <w:rPr>
          <w:rFonts w:hint="eastAsia" w:ascii="宋体" w:hAnsi="宋体"/>
          <w:szCs w:val="21"/>
          <w:lang w:val="en-US" w:eastAsia="zh-CN"/>
        </w:rPr>
        <w:t>用</w:t>
      </w:r>
      <w:r>
        <w:rPr>
          <w:rFonts w:hint="eastAsia" w:ascii="宋体" w:hAnsi="宋体"/>
          <w:szCs w:val="21"/>
        </w:rPr>
        <w:t>审核中花费的</w:t>
      </w:r>
      <w:r>
        <w:rPr>
          <w:rFonts w:hint="eastAsia" w:ascii="宋体" w:hAnsi="宋体"/>
          <w:szCs w:val="21"/>
          <w:lang w:eastAsia="zh-CN"/>
        </w:rPr>
        <w:t>审核人日</w:t>
      </w:r>
      <w:r>
        <w:rPr>
          <w:rFonts w:hint="eastAsia" w:ascii="宋体" w:hAnsi="宋体"/>
          <w:szCs w:val="21"/>
        </w:rPr>
        <w:t>来</w:t>
      </w:r>
      <w:r>
        <w:rPr>
          <w:rFonts w:hint="eastAsia" w:ascii="宋体" w:hAnsi="宋体"/>
          <w:szCs w:val="21"/>
          <w:lang w:val="en-US" w:eastAsia="zh-CN"/>
        </w:rPr>
        <w:t>表述</w:t>
      </w:r>
      <w:r>
        <w:rPr>
          <w:rFonts w:hint="eastAsia" w:ascii="宋体" w:hAnsi="宋体"/>
          <w:szCs w:val="21"/>
        </w:rPr>
        <w:t>。本附录的计算基础是</w:t>
      </w:r>
      <w:r>
        <w:rPr>
          <w:rFonts w:hint="eastAsia" w:ascii="宋体" w:hAnsi="宋体"/>
          <w:szCs w:val="21"/>
          <w:lang w:val="en-US" w:eastAsia="zh-CN"/>
        </w:rPr>
        <w:t>每天</w:t>
      </w:r>
      <w:r>
        <w:rPr>
          <w:rFonts w:hint="eastAsia" w:ascii="宋体" w:hAnsi="宋体"/>
          <w:szCs w:val="21"/>
        </w:rPr>
        <w:t>（</w:t>
      </w:r>
      <w:r>
        <w:rPr>
          <w:rFonts w:hint="eastAsia" w:ascii="宋体" w:hAnsi="宋体"/>
          <w:szCs w:val="21"/>
          <w:lang w:val="en-US" w:eastAsia="zh-CN"/>
        </w:rPr>
        <w:t>英文缩写</w:t>
      </w:r>
      <w:r>
        <w:rPr>
          <w:rFonts w:hint="eastAsia" w:ascii="宋体" w:hAnsi="宋体"/>
          <w:szCs w:val="21"/>
        </w:rPr>
        <w:t>为“d”）</w:t>
      </w:r>
      <w:r>
        <w:rPr>
          <w:rFonts w:hint="eastAsia" w:ascii="宋体" w:hAnsi="宋体"/>
          <w:szCs w:val="21"/>
          <w:lang w:val="en-US" w:eastAsia="zh-CN"/>
        </w:rPr>
        <w:t>工作</w:t>
      </w:r>
      <w:r>
        <w:rPr>
          <w:rFonts w:hint="eastAsia" w:ascii="宋体" w:hAnsi="宋体"/>
          <w:szCs w:val="21"/>
        </w:rPr>
        <w:t>8</w:t>
      </w:r>
      <w:r>
        <w:rPr>
          <w:rFonts w:hint="eastAsia" w:ascii="宋体" w:hAnsi="宋体"/>
          <w:szCs w:val="21"/>
          <w:lang w:val="en-US" w:eastAsia="zh-CN"/>
        </w:rPr>
        <w:t>小时</w:t>
      </w:r>
      <w:r>
        <w:rPr>
          <w:rFonts w:hint="eastAsia" w:ascii="宋体" w:hAnsi="宋体"/>
          <w:szCs w:val="21"/>
        </w:rPr>
        <w:t>。</w:t>
      </w:r>
    </w:p>
    <w:p w14:paraId="291456A5">
      <w:pPr>
        <w:pStyle w:val="70"/>
        <w:numPr>
          <w:ilvl w:val="0"/>
          <w:numId w:val="0"/>
        </w:numPr>
        <w:spacing w:before="156" w:after="156"/>
        <w:rPr>
          <w:rFonts w:ascii="宋体" w:hAnsi="宋体" w:eastAsia="宋体"/>
          <w:b/>
          <w:lang w:val="de-DE"/>
        </w:rPr>
      </w:pPr>
      <w:r>
        <w:rPr>
          <w:rFonts w:hint="eastAsia" w:hAnsi="黑体"/>
          <w:lang w:val="de-DE"/>
        </w:rPr>
        <w:t>C.2.3</w:t>
      </w:r>
      <w:r>
        <w:rPr>
          <w:rFonts w:hint="eastAsia" w:hAnsi="黑体"/>
          <w:lang w:val="en-US" w:eastAsia="zh-CN"/>
        </w:rPr>
        <w:t xml:space="preserve">  </w:t>
      </w:r>
      <w:r>
        <w:rPr>
          <w:rFonts w:hint="eastAsia" w:hAnsi="黑体"/>
          <w:lang w:val="de-DE"/>
        </w:rPr>
        <w:t>临时场所</w:t>
      </w:r>
    </w:p>
    <w:p w14:paraId="56276E56">
      <w:pPr>
        <w:ind w:firstLine="420" w:firstLineChars="200"/>
        <w:rPr>
          <w:rFonts w:ascii="宋体" w:hAnsi="宋体"/>
          <w:szCs w:val="21"/>
        </w:rPr>
      </w:pPr>
      <w:r>
        <w:rPr>
          <w:rFonts w:hint="eastAsia" w:ascii="宋体" w:hAnsi="宋体"/>
          <w:szCs w:val="21"/>
        </w:rPr>
        <w:t>认证范围内的临时场所是认证文件所注明的场所之外的位置，其活动在认证范围内并在规定的时间周期内实施。此类场所的范围</w:t>
      </w:r>
      <w:r>
        <w:rPr>
          <w:rFonts w:hint="eastAsia" w:ascii="宋体" w:hAnsi="宋体"/>
          <w:szCs w:val="21"/>
          <w:lang w:val="en-US" w:eastAsia="zh-CN"/>
        </w:rPr>
        <w:t>能</w:t>
      </w:r>
      <w:r>
        <w:rPr>
          <w:rFonts w:hint="eastAsia" w:ascii="宋体" w:hAnsi="宋体"/>
          <w:szCs w:val="21"/>
        </w:rPr>
        <w:t>从大</w:t>
      </w:r>
      <w:r>
        <w:rPr>
          <w:rFonts w:hint="eastAsia" w:ascii="宋体" w:hAnsi="宋体"/>
          <w:szCs w:val="21"/>
          <w:lang w:val="en-US" w:eastAsia="zh-CN"/>
        </w:rPr>
        <w:t>型</w:t>
      </w:r>
      <w:r>
        <w:rPr>
          <w:rFonts w:hint="eastAsia" w:ascii="宋体" w:hAnsi="宋体"/>
          <w:szCs w:val="21"/>
        </w:rPr>
        <w:t>项目管理场所到较小的服务或安装场所。在确定对这些场所的访问需求及其抽样范围时，宜基于对在临时场所</w:t>
      </w:r>
      <w:r>
        <w:rPr>
          <w:rFonts w:hint="eastAsia" w:ascii="宋体" w:hAnsi="宋体"/>
          <w:szCs w:val="21"/>
          <w:lang w:val="en-US" w:eastAsia="zh-CN"/>
        </w:rPr>
        <w:t>为实现</w:t>
      </w:r>
      <w:r>
        <w:rPr>
          <w:rFonts w:hint="eastAsia" w:ascii="宋体" w:hAnsi="宋体"/>
          <w:szCs w:val="21"/>
        </w:rPr>
        <w:t>信息安全目标</w:t>
      </w:r>
      <w:r>
        <w:rPr>
          <w:rFonts w:hint="eastAsia" w:ascii="宋体" w:hAnsi="宋体"/>
          <w:szCs w:val="21"/>
          <w:lang w:val="en-US" w:eastAsia="zh-CN"/>
        </w:rPr>
        <w:t>而开展的活动</w:t>
      </w:r>
      <w:r>
        <w:rPr>
          <w:rFonts w:hint="eastAsia" w:ascii="宋体" w:hAnsi="宋体"/>
          <w:szCs w:val="21"/>
        </w:rPr>
        <w:t>的风险评价。所选择的场所样本宜考虑活动的规模与类型和实施中的项目的不同阶段，并体现组织的能力需求和服务变化的范围。对于一般的抽样，见9.1.5.2。</w:t>
      </w:r>
    </w:p>
    <w:p w14:paraId="6D6BC6C8">
      <w:pPr>
        <w:pStyle w:val="70"/>
        <w:numPr>
          <w:ilvl w:val="0"/>
          <w:numId w:val="0"/>
        </w:numPr>
        <w:spacing w:before="156" w:after="156"/>
        <w:rPr>
          <w:rFonts w:hAnsi="黑体"/>
          <w:lang w:val="de-DE"/>
        </w:rPr>
      </w:pPr>
      <w:r>
        <w:rPr>
          <w:rFonts w:hint="eastAsia" w:hAnsi="黑体"/>
          <w:lang w:val="de-DE"/>
        </w:rPr>
        <w:t>C</w:t>
      </w:r>
      <w:r>
        <w:rPr>
          <w:rFonts w:hAnsi="黑体"/>
          <w:lang w:val="de-DE"/>
        </w:rPr>
        <w:t>.</w:t>
      </w:r>
      <w:r>
        <w:rPr>
          <w:rFonts w:hint="eastAsia" w:hAnsi="黑体"/>
          <w:lang w:val="de-DE"/>
        </w:rPr>
        <w:t>3</w:t>
      </w:r>
      <w:r>
        <w:rPr>
          <w:rFonts w:hint="eastAsia" w:hAnsi="黑体"/>
          <w:lang w:val="en-US" w:eastAsia="zh-CN"/>
        </w:rPr>
        <w:t xml:space="preserve">  </w:t>
      </w:r>
      <w:r>
        <w:rPr>
          <w:rFonts w:hAnsi="黑体"/>
          <w:lang w:val="de-DE"/>
        </w:rPr>
        <w:t>确定</w:t>
      </w:r>
      <w:r>
        <w:rPr>
          <w:rFonts w:hAnsi="黑体"/>
        </w:rPr>
        <w:t>初次</w:t>
      </w:r>
      <w:r>
        <w:rPr>
          <w:rFonts w:hAnsi="黑体"/>
          <w:lang w:val="de-DE"/>
        </w:rPr>
        <w:t>认证审核时间的</w:t>
      </w:r>
      <w:r>
        <w:rPr>
          <w:rFonts w:hint="eastAsia" w:hAnsi="黑体"/>
          <w:lang w:val="de-DE"/>
        </w:rPr>
        <w:t>程序</w:t>
      </w:r>
    </w:p>
    <w:p w14:paraId="7FBB3B5F">
      <w:pPr>
        <w:pStyle w:val="70"/>
        <w:numPr>
          <w:ilvl w:val="0"/>
          <w:numId w:val="0"/>
        </w:numPr>
        <w:spacing w:before="156" w:after="156"/>
        <w:rPr>
          <w:rFonts w:hAnsi="黑体"/>
          <w:lang w:val="de-DE"/>
        </w:rPr>
      </w:pPr>
      <w:r>
        <w:rPr>
          <w:rFonts w:hint="eastAsia" w:hAnsi="黑体"/>
          <w:lang w:val="de-DE"/>
        </w:rPr>
        <w:t>C.3.1</w:t>
      </w:r>
      <w:r>
        <w:rPr>
          <w:rFonts w:hint="eastAsia" w:hAnsi="黑体"/>
          <w:lang w:val="en-US" w:eastAsia="zh-CN"/>
        </w:rPr>
        <w:t xml:space="preserve">  </w:t>
      </w:r>
      <w:r>
        <w:rPr>
          <w:rFonts w:hint="eastAsia" w:hAnsi="黑体"/>
        </w:rPr>
        <w:t>总则</w:t>
      </w:r>
    </w:p>
    <w:p w14:paraId="6EA3F39F">
      <w:pPr>
        <w:ind w:firstLine="420" w:firstLineChars="200"/>
        <w:rPr>
          <w:rFonts w:hint="eastAsia" w:ascii="宋体" w:hAnsi="宋体"/>
          <w:szCs w:val="21"/>
        </w:rPr>
      </w:pPr>
      <w:r>
        <w:rPr>
          <w:rFonts w:hint="eastAsia" w:ascii="宋体" w:hAnsi="宋体"/>
          <w:szCs w:val="21"/>
        </w:rPr>
        <w:t>认证机构应具有并遵循计算审核时间的文件化程序。</w:t>
      </w:r>
    </w:p>
    <w:p w14:paraId="522E27B4">
      <w:pPr>
        <w:pStyle w:val="70"/>
        <w:numPr>
          <w:ilvl w:val="0"/>
          <w:numId w:val="0"/>
        </w:numPr>
        <w:spacing w:before="156" w:after="156"/>
        <w:rPr>
          <w:rFonts w:hAnsi="黑体"/>
          <w:lang w:val="de-DE"/>
        </w:rPr>
      </w:pPr>
      <w:r>
        <w:rPr>
          <w:rFonts w:hint="eastAsia" w:hAnsi="黑体"/>
          <w:lang w:val="de-DE"/>
        </w:rPr>
        <w:t>C.3.2</w:t>
      </w:r>
      <w:r>
        <w:rPr>
          <w:rFonts w:hint="eastAsia" w:hAnsi="黑体"/>
          <w:lang w:val="en-US" w:eastAsia="zh-CN"/>
        </w:rPr>
        <w:t xml:space="preserve">  </w:t>
      </w:r>
      <w:r>
        <w:rPr>
          <w:rFonts w:hint="eastAsia" w:hAnsi="黑体"/>
          <w:lang w:val="de-DE"/>
        </w:rPr>
        <w:t>远程审核</w:t>
      </w:r>
    </w:p>
    <w:p w14:paraId="0F6D64A4">
      <w:pPr>
        <w:ind w:firstLine="420" w:firstLineChars="200"/>
        <w:rPr>
          <w:rFonts w:ascii="宋体" w:hAnsi="宋体"/>
          <w:szCs w:val="21"/>
        </w:rPr>
      </w:pPr>
      <w:r>
        <w:rPr>
          <w:rFonts w:hint="eastAsia" w:ascii="宋体" w:hAnsi="宋体"/>
          <w:szCs w:val="21"/>
        </w:rPr>
        <w:t>如果使用了远程审核</w:t>
      </w:r>
      <w:r>
        <w:rPr>
          <w:rFonts w:hint="eastAsia" w:ascii="宋体" w:hAnsi="宋体"/>
          <w:szCs w:val="21"/>
          <w:lang w:val="en-US" w:eastAsia="zh-CN"/>
        </w:rPr>
        <w:t>方法</w:t>
      </w:r>
      <w:r>
        <w:rPr>
          <w:rFonts w:hint="eastAsia" w:ascii="宋体" w:hAnsi="宋体"/>
          <w:szCs w:val="21"/>
        </w:rPr>
        <w:t>（例如</w:t>
      </w:r>
      <w:r>
        <w:rPr>
          <w:rFonts w:hint="eastAsia" w:ascii="宋体" w:hAnsi="宋体"/>
          <w:szCs w:val="21"/>
          <w:lang w:eastAsia="zh-CN"/>
        </w:rPr>
        <w:t>，</w:t>
      </w:r>
      <w:r>
        <w:rPr>
          <w:rFonts w:hint="eastAsia" w:ascii="宋体" w:hAnsi="宋体"/>
          <w:szCs w:val="21"/>
        </w:rPr>
        <w:t>基于网络的交互式协作、网络会议、电话会议和/或电子验证组织的过程）</w:t>
      </w:r>
      <w:r>
        <w:rPr>
          <w:rFonts w:hint="eastAsia" w:ascii="宋体" w:hAnsi="宋体"/>
          <w:szCs w:val="21"/>
          <w:lang w:val="en-US" w:eastAsia="zh-CN"/>
        </w:rPr>
        <w:t>来</w:t>
      </w:r>
      <w:r>
        <w:rPr>
          <w:rFonts w:hint="eastAsia" w:ascii="宋体" w:hAnsi="宋体"/>
          <w:szCs w:val="21"/>
        </w:rPr>
        <w:t>与组织接触，这些活动宜在审核计划（见9.2.3）中加以识别，可以考虑将其作为总的“现场审核时间”的一部分。</w:t>
      </w:r>
    </w:p>
    <w:p w14:paraId="57212CBC">
      <w:pPr>
        <w:pStyle w:val="36"/>
        <w:ind w:firstLine="360"/>
        <w:rPr>
          <w:rFonts w:hAnsi="宋体"/>
          <w:sz w:val="18"/>
          <w:szCs w:val="18"/>
        </w:rPr>
      </w:pPr>
      <w:r>
        <w:rPr>
          <w:rFonts w:hint="eastAsia" w:ascii="黑体" w:hAnsi="黑体" w:eastAsia="黑体"/>
          <w:sz w:val="18"/>
          <w:szCs w:val="18"/>
          <w:lang w:val="de-DE"/>
        </w:rPr>
        <w:t>注：</w:t>
      </w:r>
      <w:r>
        <w:rPr>
          <w:rFonts w:hint="eastAsia" w:hAnsi="宋体"/>
          <w:sz w:val="18"/>
          <w:szCs w:val="18"/>
          <w:lang w:val="de-DE"/>
        </w:rPr>
        <w:t>现场审核时间是指分配给单个场所的现场审核时间。对远程</w:t>
      </w:r>
      <w:r>
        <w:rPr>
          <w:rFonts w:hint="eastAsia" w:hAnsi="宋体"/>
          <w:sz w:val="18"/>
          <w:szCs w:val="18"/>
          <w:lang w:val="en-US" w:eastAsia="zh-CN"/>
        </w:rPr>
        <w:t>场所</w:t>
      </w:r>
      <w:r>
        <w:rPr>
          <w:rFonts w:hint="eastAsia" w:hAnsi="宋体"/>
          <w:sz w:val="18"/>
          <w:szCs w:val="18"/>
          <w:lang w:val="de-DE"/>
        </w:rPr>
        <w:t>的电子</w:t>
      </w:r>
      <w:r>
        <w:rPr>
          <w:rFonts w:hint="eastAsia" w:hAnsi="宋体"/>
          <w:sz w:val="18"/>
          <w:szCs w:val="18"/>
          <w:lang w:val="en-US" w:eastAsia="zh-CN"/>
        </w:rPr>
        <w:t>化</w:t>
      </w:r>
      <w:r>
        <w:rPr>
          <w:rFonts w:hint="eastAsia" w:hAnsi="宋体"/>
          <w:sz w:val="18"/>
          <w:szCs w:val="18"/>
          <w:lang w:val="de-DE"/>
        </w:rPr>
        <w:t>审核被视为远程审核，即使电子</w:t>
      </w:r>
      <w:r>
        <w:rPr>
          <w:rFonts w:hint="eastAsia" w:hAnsi="宋体"/>
          <w:sz w:val="18"/>
          <w:szCs w:val="18"/>
          <w:lang w:val="en-US" w:eastAsia="zh-CN"/>
        </w:rPr>
        <w:t>化</w:t>
      </w:r>
      <w:r>
        <w:rPr>
          <w:rFonts w:hint="eastAsia" w:hAnsi="宋体"/>
          <w:sz w:val="18"/>
          <w:szCs w:val="18"/>
          <w:lang w:val="de-DE"/>
        </w:rPr>
        <w:t>审核是在组织的物理</w:t>
      </w:r>
      <w:r>
        <w:rPr>
          <w:rFonts w:hint="eastAsia" w:hAnsi="宋体"/>
          <w:sz w:val="18"/>
          <w:szCs w:val="18"/>
          <w:lang w:val="en-US" w:eastAsia="zh-CN"/>
        </w:rPr>
        <w:t>场所</w:t>
      </w:r>
      <w:r>
        <w:rPr>
          <w:rFonts w:hint="eastAsia" w:hAnsi="宋体"/>
          <w:sz w:val="18"/>
          <w:szCs w:val="18"/>
          <w:lang w:val="de-DE"/>
        </w:rPr>
        <w:t>进行。</w:t>
      </w:r>
    </w:p>
    <w:p w14:paraId="0EDFDCC1">
      <w:pPr>
        <w:pStyle w:val="70"/>
        <w:numPr>
          <w:ilvl w:val="0"/>
          <w:numId w:val="0"/>
        </w:numPr>
        <w:spacing w:before="156" w:after="156"/>
        <w:rPr>
          <w:rFonts w:hAnsi="黑体"/>
          <w:lang w:val="de-DE"/>
        </w:rPr>
      </w:pPr>
      <w:r>
        <w:rPr>
          <w:rFonts w:hint="eastAsia" w:hAnsi="黑体"/>
          <w:lang w:val="de-DE"/>
        </w:rPr>
        <w:t>C.3.3</w:t>
      </w:r>
      <w:r>
        <w:rPr>
          <w:rFonts w:hint="eastAsia" w:hAnsi="黑体"/>
          <w:lang w:val="en-US" w:eastAsia="zh-CN"/>
        </w:rPr>
        <w:t xml:space="preserve">  </w:t>
      </w:r>
      <w:r>
        <w:rPr>
          <w:rFonts w:hint="eastAsia" w:hAnsi="黑体"/>
          <w:lang w:val="de-DE"/>
        </w:rPr>
        <w:t>审核时间的计算</w:t>
      </w:r>
    </w:p>
    <w:p w14:paraId="64BEA84F">
      <w:pPr>
        <w:ind w:firstLine="420" w:firstLineChars="200"/>
        <w:rPr>
          <w:rFonts w:ascii="宋体" w:hAnsi="宋体"/>
          <w:szCs w:val="21"/>
        </w:rPr>
      </w:pPr>
      <w:r>
        <w:rPr>
          <w:rFonts w:hint="eastAsia" w:ascii="宋体" w:hAnsi="宋体"/>
          <w:szCs w:val="21"/>
        </w:rPr>
        <w:t>表C.1给出了初次审核天数平均值的起点（在本附录和附录D中，这个数值包括初次审核（第一阶段和第二阶段）的天数）。经验表明，对于一个覆盖了给定数量的、在组织控制下工作的人员的ISMS范围来说，这一数值是适当的。经验还表明，对于相似规模的ISMS范围，有些需要</w:t>
      </w:r>
      <w:r>
        <w:rPr>
          <w:rFonts w:hint="eastAsia" w:ascii="宋体" w:hAnsi="宋体"/>
          <w:szCs w:val="21"/>
          <w:lang w:val="en-US" w:eastAsia="zh-CN"/>
        </w:rPr>
        <w:t>更</w:t>
      </w:r>
      <w:r>
        <w:rPr>
          <w:rFonts w:hint="eastAsia" w:ascii="宋体" w:hAnsi="宋体"/>
          <w:szCs w:val="21"/>
        </w:rPr>
        <w:t>多的审核时间。</w:t>
      </w:r>
    </w:p>
    <w:p w14:paraId="21A4DDA6">
      <w:pPr>
        <w:ind w:firstLine="420" w:firstLineChars="200"/>
        <w:rPr>
          <w:rFonts w:hint="eastAsia" w:ascii="宋体" w:hAnsi="宋体"/>
          <w:szCs w:val="21"/>
        </w:rPr>
      </w:pPr>
      <w:r>
        <w:rPr>
          <w:rFonts w:hint="eastAsia" w:ascii="宋体" w:hAnsi="宋体"/>
          <w:szCs w:val="21"/>
        </w:rPr>
        <w:t>表C.1提供了审核策划应使用的框架。该表基于在组织控制下工作的、所有班次的人员的总数来确定审核时间的起点。根据适用于待审核ISMS范围的重要因素</w:t>
      </w:r>
      <w:r>
        <w:rPr>
          <w:rFonts w:hint="eastAsia" w:ascii="宋体" w:hAnsi="宋体"/>
          <w:szCs w:val="21"/>
          <w:lang w:val="en-US" w:eastAsia="zh-CN"/>
        </w:rPr>
        <w:t>来</w:t>
      </w:r>
      <w:r>
        <w:rPr>
          <w:rFonts w:hint="eastAsia" w:ascii="宋体" w:hAnsi="宋体"/>
          <w:szCs w:val="21"/>
        </w:rPr>
        <w:t>调整审核人</w:t>
      </w:r>
      <w:r>
        <w:rPr>
          <w:rFonts w:hint="eastAsia" w:ascii="宋体" w:hAnsi="宋体"/>
          <w:szCs w:val="21"/>
          <w:lang w:val="en-US" w:eastAsia="zh-CN"/>
        </w:rPr>
        <w:t>日数：通过</w:t>
      </w:r>
      <w:r>
        <w:rPr>
          <w:rFonts w:hint="eastAsia" w:ascii="宋体" w:hAnsi="宋体"/>
          <w:szCs w:val="21"/>
        </w:rPr>
        <w:t>对每个因素赋予增减权重来修</w:t>
      </w:r>
      <w:r>
        <w:rPr>
          <w:rFonts w:hint="eastAsia" w:ascii="宋体" w:hAnsi="宋体"/>
          <w:szCs w:val="21"/>
          <w:lang w:val="en-US" w:eastAsia="zh-CN"/>
        </w:rPr>
        <w:t>改</w:t>
      </w:r>
      <w:r>
        <w:rPr>
          <w:rFonts w:hint="eastAsia" w:ascii="宋体" w:hAnsi="宋体"/>
          <w:szCs w:val="21"/>
        </w:rPr>
        <w:t>基数。使用表C.1时应考虑</w:t>
      </w:r>
      <w:r>
        <w:rPr>
          <w:rFonts w:hint="eastAsia" w:ascii="宋体" w:hAnsi="宋体"/>
          <w:szCs w:val="21"/>
          <w:lang w:val="en-US" w:eastAsia="zh-CN"/>
        </w:rPr>
        <w:t>审核时间调整</w:t>
      </w:r>
      <w:r>
        <w:rPr>
          <w:rFonts w:hint="eastAsia" w:ascii="宋体" w:hAnsi="宋体"/>
          <w:szCs w:val="21"/>
        </w:rPr>
        <w:t>因素和</w:t>
      </w:r>
      <w:r>
        <w:rPr>
          <w:rFonts w:hint="eastAsia" w:ascii="宋体" w:hAnsi="宋体"/>
          <w:szCs w:val="21"/>
          <w:lang w:val="en-US" w:eastAsia="zh-CN"/>
        </w:rPr>
        <w:t>对偏离</w:t>
      </w:r>
      <w:r>
        <w:rPr>
          <w:rFonts w:hint="eastAsia" w:ascii="宋体" w:hAnsi="宋体"/>
          <w:szCs w:val="21"/>
        </w:rPr>
        <w:t>的限制(见C.3.5和C.3.6)。C.2解释了表C.1中所使用的术语，附录D提供了如何使用本附录计算方法的示例。</w:t>
      </w:r>
    </w:p>
    <w:p w14:paraId="30A064B0">
      <w:pPr>
        <w:pStyle w:val="70"/>
        <w:numPr>
          <w:ilvl w:val="0"/>
          <w:numId w:val="0"/>
        </w:numPr>
        <w:spacing w:before="156" w:after="156"/>
        <w:rPr>
          <w:rFonts w:hint="eastAsia" w:ascii="黑体" w:hAnsi="黑体" w:eastAsia="黑体"/>
          <w:szCs w:val="21"/>
          <w:lang w:val="de-DE"/>
        </w:rPr>
      </w:pPr>
      <w:r>
        <w:rPr>
          <w:rFonts w:hint="eastAsia" w:ascii="黑体" w:hAnsi="黑体" w:eastAsia="黑体"/>
          <w:szCs w:val="21"/>
          <w:lang w:val="de-DE"/>
        </w:rPr>
        <w:t>C.3.4</w:t>
      </w:r>
      <w:r>
        <w:rPr>
          <w:rFonts w:hint="eastAsia" w:hAnsi="黑体"/>
          <w:szCs w:val="21"/>
          <w:lang w:val="de-DE" w:eastAsia="zh-CN"/>
        </w:rPr>
        <w:t xml:space="preserve"> </w:t>
      </w:r>
      <w:r>
        <w:rPr>
          <w:rFonts w:hint="eastAsia" w:hAnsi="黑体"/>
          <w:szCs w:val="21"/>
          <w:lang w:val="en-US" w:eastAsia="zh-CN"/>
        </w:rPr>
        <w:t xml:space="preserve"> </w:t>
      </w:r>
      <w:r>
        <w:rPr>
          <w:rFonts w:hint="eastAsia" w:ascii="黑体" w:hAnsi="黑体" w:eastAsia="黑体"/>
          <w:szCs w:val="21"/>
          <w:lang w:val="de-DE"/>
        </w:rPr>
        <w:t>确定初始人数</w:t>
      </w:r>
    </w:p>
    <w:p w14:paraId="07DFC949">
      <w:pPr>
        <w:ind w:firstLine="420" w:firstLineChars="200"/>
        <w:jc w:val="left"/>
        <w:rPr>
          <w:rFonts w:ascii="宋体" w:hAnsi="宋体"/>
          <w:szCs w:val="21"/>
        </w:rPr>
      </w:pPr>
      <w:r>
        <w:rPr>
          <w:rFonts w:hint="eastAsia" w:ascii="宋体" w:hAnsi="宋体"/>
          <w:szCs w:val="21"/>
        </w:rPr>
        <w:t>认证机构应要求客户提供与</w:t>
      </w:r>
      <w:r>
        <w:rPr>
          <w:rFonts w:hint="eastAsia" w:ascii="宋体" w:hAnsi="宋体"/>
          <w:szCs w:val="21"/>
          <w:lang w:val="en-US" w:eastAsia="zh-CN"/>
        </w:rPr>
        <w:t>大量人员</w:t>
      </w:r>
      <w:r>
        <w:rPr>
          <w:rFonts w:hint="eastAsia" w:ascii="宋体" w:hAnsi="宋体"/>
          <w:szCs w:val="21"/>
        </w:rPr>
        <w:t>从事某些相同活动有关的信息，包括</w:t>
      </w:r>
      <w:r>
        <w:rPr>
          <w:rFonts w:ascii="宋体" w:hAnsi="宋体"/>
          <w:szCs w:val="21"/>
        </w:rPr>
        <w:t>:</w:t>
      </w:r>
    </w:p>
    <w:p w14:paraId="5CA18847">
      <w:pPr>
        <w:ind w:firstLine="420" w:firstLineChars="200"/>
        <w:jc w:val="left"/>
        <w:rPr>
          <w:rFonts w:ascii="宋体" w:hAnsi="宋体"/>
          <w:szCs w:val="21"/>
        </w:rPr>
      </w:pPr>
      <w:r>
        <w:rPr>
          <w:szCs w:val="21"/>
        </w:rPr>
        <w:t>——</w:t>
      </w:r>
      <w:r>
        <w:rPr>
          <w:rFonts w:hint="eastAsia" w:ascii="宋体" w:hAnsi="宋体"/>
          <w:szCs w:val="21"/>
        </w:rPr>
        <w:t>从事该活动的人数</w:t>
      </w:r>
      <w:r>
        <w:rPr>
          <w:rFonts w:hint="eastAsia" w:ascii="宋体" w:hAnsi="宋体"/>
          <w:szCs w:val="21"/>
          <w:lang w:eastAsia="zh-CN"/>
        </w:rPr>
        <w:t>；</w:t>
      </w:r>
    </w:p>
    <w:p w14:paraId="6AF27F10">
      <w:pPr>
        <w:ind w:firstLine="420" w:firstLineChars="200"/>
        <w:jc w:val="left"/>
        <w:rPr>
          <w:rFonts w:ascii="宋体" w:hAnsi="宋体"/>
          <w:szCs w:val="21"/>
        </w:rPr>
      </w:pPr>
      <w:r>
        <w:rPr>
          <w:szCs w:val="21"/>
        </w:rPr>
        <w:t>——</w:t>
      </w:r>
      <w:r>
        <w:rPr>
          <w:rFonts w:hint="eastAsia" w:ascii="宋体" w:hAnsi="宋体"/>
          <w:szCs w:val="21"/>
        </w:rPr>
        <w:t>活动或过程的类型。</w:t>
      </w:r>
    </w:p>
    <w:p w14:paraId="7F5CC9F1">
      <w:pPr>
        <w:ind w:firstLine="420" w:firstLineChars="200"/>
        <w:jc w:val="left"/>
        <w:rPr>
          <w:rFonts w:ascii="宋体" w:hAnsi="宋体"/>
          <w:szCs w:val="21"/>
        </w:rPr>
      </w:pPr>
      <w:r>
        <w:rPr>
          <w:rFonts w:hint="eastAsia" w:ascii="宋体" w:hAnsi="宋体"/>
          <w:szCs w:val="21"/>
          <w:lang w:val="en-US" w:eastAsia="zh-CN"/>
        </w:rPr>
        <w:t>因人员</w:t>
      </w:r>
      <w:r>
        <w:rPr>
          <w:rFonts w:hint="eastAsia" w:ascii="宋体" w:hAnsi="宋体"/>
          <w:szCs w:val="21"/>
        </w:rPr>
        <w:t>从事某些相同活动</w:t>
      </w:r>
      <w:r>
        <w:rPr>
          <w:rFonts w:hint="eastAsia" w:ascii="宋体" w:hAnsi="宋体"/>
          <w:szCs w:val="21"/>
          <w:lang w:val="en-US" w:eastAsia="zh-CN"/>
        </w:rPr>
        <w:t>而减少作为审核时间计算基础的人数的示例</w:t>
      </w:r>
      <w:r>
        <w:rPr>
          <w:rFonts w:hint="eastAsia" w:ascii="宋体" w:hAnsi="宋体"/>
          <w:szCs w:val="21"/>
        </w:rPr>
        <w:t>包括</w:t>
      </w:r>
      <w:r>
        <w:rPr>
          <w:rFonts w:ascii="宋体" w:hAnsi="宋体"/>
          <w:szCs w:val="21"/>
        </w:rPr>
        <w:t>:</w:t>
      </w:r>
    </w:p>
    <w:p w14:paraId="3AFF9C3A">
      <w:pPr>
        <w:ind w:firstLine="420" w:firstLineChars="200"/>
        <w:jc w:val="left"/>
        <w:rPr>
          <w:rFonts w:ascii="宋体" w:hAnsi="宋体"/>
          <w:szCs w:val="21"/>
        </w:rPr>
      </w:pPr>
      <w:r>
        <w:rPr>
          <w:szCs w:val="21"/>
        </w:rPr>
        <w:t>——</w:t>
      </w:r>
      <w:r>
        <w:rPr>
          <w:rFonts w:hint="eastAsia" w:ascii="宋体" w:hAnsi="宋体"/>
          <w:szCs w:val="21"/>
        </w:rPr>
        <w:t>履行职责</w:t>
      </w:r>
      <w:r>
        <w:rPr>
          <w:rFonts w:hint="eastAsia" w:ascii="宋体" w:hAnsi="宋体"/>
          <w:szCs w:val="21"/>
          <w:lang w:val="en-US" w:eastAsia="zh-CN"/>
        </w:rPr>
        <w:t>时</w:t>
      </w:r>
      <w:r>
        <w:rPr>
          <w:rFonts w:hint="eastAsia" w:ascii="宋体" w:hAnsi="宋体"/>
          <w:szCs w:val="21"/>
        </w:rPr>
        <w:t>对信息只有读取访问权限的人员</w:t>
      </w:r>
      <w:r>
        <w:rPr>
          <w:rFonts w:hint="eastAsia" w:ascii="宋体" w:hAnsi="宋体"/>
          <w:szCs w:val="21"/>
          <w:lang w:eastAsia="zh-CN"/>
        </w:rPr>
        <w:t>；</w:t>
      </w:r>
    </w:p>
    <w:p w14:paraId="4511E9D5">
      <w:pPr>
        <w:ind w:firstLine="420" w:firstLineChars="200"/>
        <w:jc w:val="left"/>
        <w:rPr>
          <w:rFonts w:hint="eastAsia" w:ascii="宋体" w:hAnsi="宋体"/>
          <w:szCs w:val="21"/>
        </w:rPr>
      </w:pPr>
      <w:r>
        <w:rPr>
          <w:szCs w:val="21"/>
        </w:rPr>
        <w:t>——</w:t>
      </w:r>
      <w:r>
        <w:rPr>
          <w:rFonts w:hint="eastAsia"/>
          <w:szCs w:val="21"/>
        </w:rPr>
        <w:t>不能使用组</w:t>
      </w:r>
      <w:r>
        <w:rPr>
          <w:rFonts w:hint="eastAsia" w:ascii="宋体" w:hAnsi="宋体"/>
          <w:szCs w:val="21"/>
        </w:rPr>
        <w:t>织ISMS范围内的信息处理设施的人员</w:t>
      </w:r>
      <w:r>
        <w:rPr>
          <w:rFonts w:hint="eastAsia" w:ascii="宋体" w:hAnsi="宋体"/>
          <w:szCs w:val="21"/>
          <w:lang w:eastAsia="zh-CN"/>
        </w:rPr>
        <w:t>；</w:t>
      </w:r>
    </w:p>
    <w:p w14:paraId="4D5A7738">
      <w:pPr>
        <w:ind w:firstLine="420" w:firstLineChars="200"/>
        <w:jc w:val="left"/>
        <w:rPr>
          <w:szCs w:val="21"/>
        </w:rPr>
      </w:pPr>
      <w:r>
        <w:rPr>
          <w:rFonts w:hint="eastAsia" w:ascii="宋体" w:hAnsi="宋体"/>
          <w:szCs w:val="21"/>
        </w:rPr>
        <w:t>——</w:t>
      </w:r>
      <w:r>
        <w:rPr>
          <w:rFonts w:hint="eastAsia" w:ascii="宋体" w:hAnsi="宋体"/>
          <w:szCs w:val="21"/>
          <w:lang w:val="en-US" w:eastAsia="zh-CN"/>
        </w:rPr>
        <w:t>对组织</w:t>
      </w:r>
      <w:r>
        <w:rPr>
          <w:rFonts w:hint="eastAsia" w:ascii="宋体" w:hAnsi="宋体"/>
          <w:szCs w:val="21"/>
        </w:rPr>
        <w:t>ISMS范围</w:t>
      </w:r>
      <w:r>
        <w:rPr>
          <w:rFonts w:hint="eastAsia"/>
          <w:szCs w:val="21"/>
        </w:rPr>
        <w:t>内的信息处理设施</w:t>
      </w:r>
      <w:r>
        <w:rPr>
          <w:rFonts w:hint="eastAsia"/>
          <w:szCs w:val="21"/>
          <w:lang w:val="en-US" w:eastAsia="zh-CN"/>
        </w:rPr>
        <w:t>具有</w:t>
      </w:r>
      <w:r>
        <w:rPr>
          <w:rFonts w:hint="eastAsia"/>
          <w:szCs w:val="21"/>
        </w:rPr>
        <w:t>明确且可</w:t>
      </w:r>
      <w:r>
        <w:rPr>
          <w:rFonts w:hint="eastAsia"/>
          <w:szCs w:val="21"/>
          <w:lang w:val="en-US" w:eastAsia="zh-CN"/>
        </w:rPr>
        <w:t>证实的受限访问权限</w:t>
      </w:r>
      <w:r>
        <w:rPr>
          <w:rFonts w:hint="eastAsia"/>
          <w:szCs w:val="21"/>
        </w:rPr>
        <w:t>的人员</w:t>
      </w:r>
      <w:r>
        <w:rPr>
          <w:rFonts w:hint="eastAsia"/>
          <w:szCs w:val="21"/>
          <w:lang w:eastAsia="zh-CN"/>
        </w:rPr>
        <w:t>；</w:t>
      </w:r>
    </w:p>
    <w:p w14:paraId="65408672">
      <w:pPr>
        <w:ind w:firstLine="420" w:firstLineChars="200"/>
        <w:jc w:val="left"/>
        <w:rPr>
          <w:szCs w:val="21"/>
        </w:rPr>
      </w:pPr>
      <w:r>
        <w:rPr>
          <w:szCs w:val="21"/>
        </w:rPr>
        <w:t>——</w:t>
      </w:r>
      <w:r>
        <w:rPr>
          <w:rFonts w:hint="eastAsia"/>
          <w:szCs w:val="21"/>
          <w:lang w:val="en-US" w:eastAsia="zh-CN"/>
        </w:rPr>
        <w:t>在</w:t>
      </w:r>
      <w:r>
        <w:rPr>
          <w:rFonts w:hint="eastAsia"/>
          <w:szCs w:val="21"/>
        </w:rPr>
        <w:t>有严格限制以防信息</w:t>
      </w:r>
      <w:r>
        <w:rPr>
          <w:rFonts w:hint="eastAsia"/>
          <w:szCs w:val="21"/>
          <w:lang w:val="en-US" w:eastAsia="zh-CN"/>
        </w:rPr>
        <w:t>泄露</w:t>
      </w:r>
      <w:r>
        <w:rPr>
          <w:rFonts w:hint="eastAsia"/>
          <w:szCs w:val="21"/>
        </w:rPr>
        <w:t>的</w:t>
      </w:r>
      <w:r>
        <w:rPr>
          <w:rFonts w:hint="eastAsia"/>
          <w:szCs w:val="21"/>
          <w:lang w:val="en-US" w:eastAsia="zh-CN"/>
        </w:rPr>
        <w:t>场所工作的</w:t>
      </w:r>
      <w:r>
        <w:rPr>
          <w:rFonts w:hint="eastAsia"/>
          <w:szCs w:val="21"/>
        </w:rPr>
        <w:t>人员，例如采取措施禁止个人物品和设备进入工作区域。</w:t>
      </w:r>
    </w:p>
    <w:p w14:paraId="220E0628">
      <w:pPr>
        <w:ind w:firstLine="420" w:firstLineChars="200"/>
        <w:jc w:val="lef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在</w:t>
      </w:r>
      <w:r>
        <w:rPr>
          <w:rFonts w:hint="eastAsia" w:asciiTheme="minorEastAsia" w:hAnsiTheme="minorEastAsia" w:eastAsiaTheme="minorEastAsia"/>
          <w:szCs w:val="21"/>
          <w:highlight w:val="none"/>
        </w:rPr>
        <w:t>减少从事相同活动的人数时</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应基于工作任务相关的活动</w:t>
      </w:r>
      <w:r>
        <w:rPr>
          <w:rFonts w:hint="eastAsia" w:asciiTheme="minorEastAsia" w:hAnsiTheme="minorEastAsia" w:eastAsiaTheme="minorEastAsia"/>
          <w:szCs w:val="21"/>
          <w:highlight w:val="none"/>
          <w:lang w:eastAsia="zh-CN"/>
        </w:rPr>
        <w:t>的</w:t>
      </w:r>
      <w:r>
        <w:rPr>
          <w:rFonts w:hint="eastAsia" w:asciiTheme="minorEastAsia" w:hAnsiTheme="minorEastAsia" w:eastAsiaTheme="minorEastAsia"/>
          <w:szCs w:val="21"/>
          <w:highlight w:val="none"/>
        </w:rPr>
        <w:t>风险。</w:t>
      </w:r>
      <w:r>
        <w:rPr>
          <w:rFonts w:hint="eastAsia" w:asciiTheme="minorEastAsia" w:hAnsiTheme="minorEastAsia" w:eastAsiaTheme="minorEastAsia"/>
          <w:szCs w:val="21"/>
          <w:highlight w:val="none"/>
          <w:lang w:val="en-US" w:eastAsia="zh-CN"/>
        </w:rPr>
        <w:t>对实施每项相同活动的人数开平方根，然后将其四舍五入取整，得到用于计算审核时间的有效人数。该数值是允许减少到的最小值。</w:t>
      </w:r>
    </w:p>
    <w:p w14:paraId="2D1F6365">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工作任务的性质、法规要求以及</w:t>
      </w:r>
      <w:r>
        <w:rPr>
          <w:rFonts w:hint="eastAsia" w:asciiTheme="minorEastAsia" w:hAnsiTheme="minorEastAsia" w:eastAsiaTheme="minorEastAsia"/>
          <w:szCs w:val="21"/>
          <w:lang w:val="en-US" w:eastAsia="zh-CN"/>
        </w:rPr>
        <w:t>组织人员</w:t>
      </w:r>
      <w:r>
        <w:rPr>
          <w:rFonts w:hint="eastAsia" w:asciiTheme="minorEastAsia" w:hAnsiTheme="minorEastAsia" w:eastAsiaTheme="minorEastAsia"/>
          <w:szCs w:val="21"/>
        </w:rPr>
        <w:t>可</w:t>
      </w:r>
      <w:r>
        <w:rPr>
          <w:rFonts w:hint="eastAsia" w:asciiTheme="minorEastAsia" w:hAnsiTheme="minorEastAsia" w:eastAsiaTheme="minorEastAsia"/>
          <w:szCs w:val="21"/>
          <w:lang w:val="en-US" w:eastAsia="zh-CN"/>
        </w:rPr>
        <w:t>访问</w:t>
      </w:r>
      <w:r>
        <w:rPr>
          <w:rFonts w:hint="eastAsia" w:asciiTheme="minorEastAsia" w:hAnsiTheme="minorEastAsia" w:eastAsiaTheme="minorEastAsia"/>
          <w:szCs w:val="21"/>
        </w:rPr>
        <w:t>信息的重要性</w:t>
      </w:r>
      <w:r>
        <w:rPr>
          <w:rFonts w:hint="eastAsia" w:asciiTheme="minorEastAsia" w:hAnsiTheme="minorEastAsia" w:eastAsiaTheme="minorEastAsia"/>
          <w:szCs w:val="21"/>
          <w:lang w:val="en-US" w:eastAsia="zh-CN"/>
        </w:rPr>
        <w:t>能</w:t>
      </w:r>
      <w:r>
        <w:rPr>
          <w:rFonts w:hint="eastAsia" w:asciiTheme="minorEastAsia" w:hAnsiTheme="minorEastAsia" w:eastAsiaTheme="minorEastAsia"/>
          <w:szCs w:val="21"/>
        </w:rPr>
        <w:t>限制这种减少。</w:t>
      </w:r>
    </w:p>
    <w:p w14:paraId="703DBAF6">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经由本</w:t>
      </w:r>
      <w:r>
        <w:rPr>
          <w:rFonts w:hint="eastAsia" w:asciiTheme="minorEastAsia" w:hAnsiTheme="minorEastAsia" w:eastAsiaTheme="minorEastAsia"/>
          <w:szCs w:val="21"/>
        </w:rPr>
        <w:t>过程确定的人数是表C.1</w:t>
      </w:r>
      <w:r>
        <w:rPr>
          <w:rFonts w:hint="eastAsia" w:asciiTheme="minorEastAsia" w:hAnsiTheme="minorEastAsia" w:eastAsiaTheme="minorEastAsia"/>
          <w:szCs w:val="21"/>
          <w:lang w:val="en-US" w:eastAsia="zh-CN"/>
        </w:rPr>
        <w:t>中确定审核时间</w:t>
      </w:r>
      <w:r>
        <w:rPr>
          <w:rFonts w:hint="eastAsia" w:asciiTheme="minorEastAsia" w:hAnsiTheme="minorEastAsia" w:eastAsiaTheme="minorEastAsia"/>
          <w:szCs w:val="21"/>
        </w:rPr>
        <w:t>的起点。</w:t>
      </w:r>
    </w:p>
    <w:p w14:paraId="55C4A3B8">
      <w:pPr>
        <w:ind w:firstLine="360" w:firstLineChars="200"/>
        <w:jc w:val="left"/>
        <w:rPr>
          <w:rFonts w:ascii="黑体" w:hAnsi="黑体" w:eastAsia="黑体"/>
          <w:szCs w:val="21"/>
        </w:rPr>
      </w:pPr>
      <w:r>
        <w:rPr>
          <w:rFonts w:hint="eastAsia" w:ascii="黑体" w:hAnsi="黑体" w:eastAsia="黑体"/>
          <w:kern w:val="0"/>
          <w:sz w:val="18"/>
          <w:szCs w:val="18"/>
          <w:lang w:val="de-DE"/>
        </w:rPr>
        <w:t>注：</w:t>
      </w:r>
      <w:r>
        <w:rPr>
          <w:rFonts w:hint="eastAsia" w:ascii="宋体" w:hAnsi="宋体" w:eastAsia="宋体"/>
          <w:kern w:val="0"/>
          <w:sz w:val="18"/>
          <w:szCs w:val="18"/>
          <w:lang w:val="de-DE"/>
        </w:rPr>
        <w:t>该表的结构与IAF MD5相同。</w:t>
      </w:r>
    </w:p>
    <w:p w14:paraId="43BB6008">
      <w:pPr>
        <w:jc w:val="center"/>
        <w:rPr>
          <w:rFonts w:ascii="黑体" w:hAnsi="黑体" w:eastAsia="黑体"/>
          <w:szCs w:val="21"/>
        </w:rPr>
      </w:pPr>
      <w:r>
        <w:rPr>
          <w:rFonts w:hint="eastAsia" w:ascii="黑体" w:hAnsi="黑体" w:eastAsia="黑体"/>
          <w:szCs w:val="21"/>
        </w:rPr>
        <w:t>表C.1 审核时间表</w:t>
      </w:r>
    </w:p>
    <w:tbl>
      <w:tblPr>
        <w:tblStyle w:val="47"/>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29"/>
        <w:gridCol w:w="1560"/>
        <w:gridCol w:w="1559"/>
        <w:gridCol w:w="1559"/>
        <w:gridCol w:w="1559"/>
        <w:gridCol w:w="1059"/>
      </w:tblGrid>
      <w:tr w14:paraId="0B8F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28F162AB">
            <w:pPr>
              <w:ind w:left="3"/>
              <w:jc w:val="center"/>
              <w:rPr>
                <w:rFonts w:ascii="宋体" w:hAnsi="宋体"/>
                <w:sz w:val="18"/>
                <w:szCs w:val="18"/>
              </w:rPr>
            </w:pPr>
            <w:r>
              <w:rPr>
                <w:rFonts w:hint="eastAsia" w:ascii="宋体" w:hAnsi="宋体"/>
                <w:sz w:val="18"/>
                <w:szCs w:val="18"/>
              </w:rPr>
              <w:t>在组织控制下工作的人员的数量</w:t>
            </w:r>
          </w:p>
        </w:tc>
        <w:tc>
          <w:tcPr>
            <w:tcW w:w="1560" w:type="dxa"/>
            <w:vAlign w:val="center"/>
          </w:tcPr>
          <w:p w14:paraId="099960B8">
            <w:pPr>
              <w:jc w:val="center"/>
              <w:rPr>
                <w:rFonts w:ascii="宋体" w:hAnsi="宋体"/>
                <w:sz w:val="18"/>
                <w:szCs w:val="18"/>
              </w:rPr>
            </w:pPr>
            <w:r>
              <w:rPr>
                <w:rFonts w:hint="eastAsia" w:ascii="宋体" w:hAnsi="宋体"/>
                <w:sz w:val="18"/>
                <w:szCs w:val="18"/>
              </w:rPr>
              <w:t>质量管理体系</w:t>
            </w:r>
          </w:p>
          <w:p w14:paraId="5EEEC7B3">
            <w:pPr>
              <w:jc w:val="center"/>
              <w:rPr>
                <w:rFonts w:ascii="宋体" w:hAnsi="宋体"/>
                <w:sz w:val="18"/>
                <w:szCs w:val="18"/>
              </w:rPr>
            </w:pPr>
            <w:r>
              <w:rPr>
                <w:rFonts w:hint="eastAsia" w:ascii="宋体" w:hAnsi="宋体"/>
                <w:sz w:val="18"/>
                <w:szCs w:val="18"/>
              </w:rPr>
              <w:t>初次审核审核时间</w:t>
            </w:r>
          </w:p>
          <w:p w14:paraId="4E103AC0">
            <w:pPr>
              <w:jc w:val="center"/>
              <w:rPr>
                <w:rFonts w:ascii="宋体" w:hAnsi="宋体"/>
                <w:sz w:val="18"/>
                <w:szCs w:val="18"/>
              </w:rPr>
            </w:pPr>
            <w:r>
              <w:rPr>
                <w:rFonts w:hint="eastAsia" w:ascii="宋体" w:hAnsi="宋体"/>
                <w:sz w:val="18"/>
                <w:szCs w:val="18"/>
              </w:rPr>
              <w:t>（审核人日，d）</w:t>
            </w:r>
          </w:p>
        </w:tc>
        <w:tc>
          <w:tcPr>
            <w:tcW w:w="1559" w:type="dxa"/>
            <w:vAlign w:val="center"/>
          </w:tcPr>
          <w:p w14:paraId="7658FE0E">
            <w:pPr>
              <w:ind w:left="-2" w:leftChars="-2" w:hanging="2"/>
              <w:jc w:val="center"/>
              <w:rPr>
                <w:rFonts w:ascii="宋体" w:hAnsi="宋体"/>
                <w:sz w:val="18"/>
                <w:szCs w:val="18"/>
              </w:rPr>
            </w:pPr>
            <w:r>
              <w:rPr>
                <w:rFonts w:hint="eastAsia" w:ascii="宋体" w:hAnsi="宋体"/>
                <w:sz w:val="18"/>
                <w:szCs w:val="18"/>
              </w:rPr>
              <w:t>环境管理体系</w:t>
            </w:r>
          </w:p>
          <w:p w14:paraId="5105E439">
            <w:pPr>
              <w:ind w:left="-2" w:leftChars="-2" w:hanging="2"/>
              <w:jc w:val="center"/>
              <w:rPr>
                <w:rFonts w:ascii="宋体" w:hAnsi="宋体"/>
                <w:sz w:val="18"/>
                <w:szCs w:val="18"/>
              </w:rPr>
            </w:pPr>
            <w:r>
              <w:rPr>
                <w:rFonts w:hint="eastAsia" w:ascii="宋体" w:hAnsi="宋体"/>
                <w:sz w:val="18"/>
                <w:szCs w:val="18"/>
              </w:rPr>
              <w:t>初次审核审核时间</w:t>
            </w:r>
          </w:p>
          <w:p w14:paraId="55BED60D">
            <w:pPr>
              <w:ind w:left="-2" w:leftChars="-2" w:hanging="2"/>
              <w:jc w:val="center"/>
              <w:rPr>
                <w:rFonts w:ascii="宋体" w:hAnsi="宋体"/>
                <w:sz w:val="18"/>
                <w:szCs w:val="18"/>
              </w:rPr>
            </w:pPr>
            <w:r>
              <w:rPr>
                <w:rFonts w:hint="eastAsia" w:ascii="宋体" w:hAnsi="宋体"/>
                <w:sz w:val="18"/>
                <w:szCs w:val="18"/>
              </w:rPr>
              <w:t>（审核人日，d）</w:t>
            </w:r>
          </w:p>
        </w:tc>
        <w:tc>
          <w:tcPr>
            <w:tcW w:w="1559" w:type="dxa"/>
            <w:vAlign w:val="center"/>
          </w:tcPr>
          <w:p w14:paraId="65B18DA3">
            <w:pPr>
              <w:ind w:left="-3"/>
              <w:jc w:val="center"/>
              <w:rPr>
                <w:rFonts w:ascii="宋体" w:hAnsi="宋体"/>
                <w:sz w:val="18"/>
                <w:szCs w:val="18"/>
              </w:rPr>
            </w:pPr>
            <w:r>
              <w:rPr>
                <w:rFonts w:hint="eastAsia" w:ascii="宋体" w:hAnsi="宋体"/>
                <w:sz w:val="18"/>
                <w:szCs w:val="18"/>
                <w:lang w:val="en-US" w:eastAsia="zh-CN"/>
              </w:rPr>
              <w:t>信息安全管理体系</w:t>
            </w:r>
          </w:p>
          <w:p w14:paraId="25A79585">
            <w:pPr>
              <w:ind w:left="-3"/>
              <w:jc w:val="center"/>
              <w:rPr>
                <w:rFonts w:ascii="宋体" w:hAnsi="宋体"/>
                <w:sz w:val="18"/>
                <w:szCs w:val="18"/>
              </w:rPr>
            </w:pPr>
            <w:r>
              <w:rPr>
                <w:rFonts w:hint="eastAsia" w:ascii="宋体" w:hAnsi="宋体"/>
                <w:sz w:val="18"/>
                <w:szCs w:val="18"/>
              </w:rPr>
              <w:t>初次审核审核时间</w:t>
            </w:r>
          </w:p>
          <w:p w14:paraId="4FA4D1E7">
            <w:pPr>
              <w:ind w:left="-3"/>
              <w:jc w:val="center"/>
              <w:rPr>
                <w:rFonts w:ascii="宋体" w:hAnsi="宋体"/>
                <w:sz w:val="18"/>
                <w:szCs w:val="18"/>
              </w:rPr>
            </w:pPr>
            <w:r>
              <w:rPr>
                <w:rFonts w:hint="eastAsia" w:ascii="宋体" w:hAnsi="宋体"/>
                <w:sz w:val="18"/>
                <w:szCs w:val="18"/>
              </w:rPr>
              <w:t>（审核人日，d）</w:t>
            </w:r>
          </w:p>
        </w:tc>
        <w:tc>
          <w:tcPr>
            <w:tcW w:w="1559" w:type="dxa"/>
            <w:vAlign w:val="center"/>
          </w:tcPr>
          <w:p w14:paraId="3FDCA2C4">
            <w:pPr>
              <w:ind w:left="-3"/>
              <w:jc w:val="center"/>
              <w:rPr>
                <w:rFonts w:ascii="宋体" w:hAnsi="宋体"/>
                <w:sz w:val="18"/>
                <w:szCs w:val="18"/>
              </w:rPr>
            </w:pPr>
            <w:r>
              <w:rPr>
                <w:rFonts w:hint="eastAsia" w:ascii="宋体" w:hAnsi="宋体"/>
                <w:sz w:val="18"/>
                <w:szCs w:val="18"/>
              </w:rPr>
              <w:t>增加或减少的</w:t>
            </w:r>
          </w:p>
          <w:p w14:paraId="0A116EEC">
            <w:pPr>
              <w:ind w:left="-3"/>
              <w:jc w:val="center"/>
              <w:rPr>
                <w:rFonts w:ascii="宋体" w:hAnsi="宋体"/>
                <w:sz w:val="18"/>
                <w:szCs w:val="18"/>
              </w:rPr>
            </w:pPr>
            <w:r>
              <w:rPr>
                <w:rFonts w:hint="eastAsia" w:ascii="宋体" w:hAnsi="宋体"/>
                <w:sz w:val="18"/>
                <w:szCs w:val="18"/>
              </w:rPr>
              <w:t>因素</w:t>
            </w:r>
          </w:p>
        </w:tc>
        <w:tc>
          <w:tcPr>
            <w:tcW w:w="1059" w:type="dxa"/>
            <w:vAlign w:val="center"/>
          </w:tcPr>
          <w:p w14:paraId="3A76639F">
            <w:pPr>
              <w:jc w:val="center"/>
              <w:rPr>
                <w:rFonts w:ascii="宋体" w:hAnsi="宋体"/>
                <w:sz w:val="18"/>
                <w:szCs w:val="18"/>
              </w:rPr>
            </w:pPr>
            <w:r>
              <w:rPr>
                <w:rFonts w:hint="eastAsia" w:ascii="宋体" w:hAnsi="宋体"/>
                <w:sz w:val="18"/>
                <w:szCs w:val="18"/>
              </w:rPr>
              <w:t>总审核时间</w:t>
            </w:r>
          </w:p>
        </w:tc>
      </w:tr>
      <w:tr w14:paraId="1F0C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219F2B98">
            <w:pPr>
              <w:jc w:val="center"/>
              <w:rPr>
                <w:rFonts w:ascii="宋体" w:hAnsi="宋体"/>
                <w:sz w:val="18"/>
                <w:szCs w:val="18"/>
              </w:rPr>
            </w:pPr>
            <w:r>
              <w:rPr>
                <w:rFonts w:ascii="宋体" w:hAnsi="宋体"/>
                <w:sz w:val="18"/>
                <w:szCs w:val="18"/>
              </w:rPr>
              <w:t>1～10</w:t>
            </w:r>
          </w:p>
        </w:tc>
        <w:tc>
          <w:tcPr>
            <w:tcW w:w="1560" w:type="dxa"/>
            <w:vAlign w:val="center"/>
          </w:tcPr>
          <w:p w14:paraId="487DA13F">
            <w:pPr>
              <w:jc w:val="center"/>
              <w:rPr>
                <w:rFonts w:ascii="宋体" w:hAnsi="宋体"/>
                <w:sz w:val="18"/>
                <w:szCs w:val="18"/>
              </w:rPr>
            </w:pPr>
            <w:r>
              <w:rPr>
                <w:rFonts w:ascii="宋体" w:hAnsi="宋体"/>
                <w:sz w:val="18"/>
                <w:szCs w:val="18"/>
              </w:rPr>
              <w:t>1.5～2</w:t>
            </w:r>
          </w:p>
        </w:tc>
        <w:tc>
          <w:tcPr>
            <w:tcW w:w="1559" w:type="dxa"/>
            <w:vAlign w:val="center"/>
          </w:tcPr>
          <w:p w14:paraId="65964E05">
            <w:pPr>
              <w:jc w:val="center"/>
              <w:rPr>
                <w:rFonts w:ascii="宋体" w:hAnsi="宋体"/>
                <w:sz w:val="18"/>
                <w:szCs w:val="18"/>
              </w:rPr>
            </w:pPr>
            <w:r>
              <w:rPr>
                <w:rFonts w:ascii="宋体" w:hAnsi="宋体"/>
                <w:sz w:val="18"/>
                <w:szCs w:val="18"/>
              </w:rPr>
              <w:t>2.5～3</w:t>
            </w:r>
          </w:p>
        </w:tc>
        <w:tc>
          <w:tcPr>
            <w:tcW w:w="1559" w:type="dxa"/>
            <w:vAlign w:val="center"/>
          </w:tcPr>
          <w:p w14:paraId="09AFD39B">
            <w:pPr>
              <w:jc w:val="center"/>
              <w:rPr>
                <w:rFonts w:ascii="宋体" w:hAnsi="宋体"/>
                <w:sz w:val="18"/>
                <w:szCs w:val="18"/>
              </w:rPr>
            </w:pPr>
            <w:r>
              <w:rPr>
                <w:rFonts w:ascii="宋体" w:hAnsi="宋体"/>
                <w:sz w:val="18"/>
                <w:szCs w:val="18"/>
              </w:rPr>
              <w:t>5</w:t>
            </w:r>
          </w:p>
        </w:tc>
        <w:tc>
          <w:tcPr>
            <w:tcW w:w="1559" w:type="dxa"/>
            <w:vAlign w:val="center"/>
          </w:tcPr>
          <w:p w14:paraId="4055EE70">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4C99CE14">
            <w:pPr>
              <w:jc w:val="center"/>
              <w:rPr>
                <w:rFonts w:ascii="宋体" w:hAnsi="宋体"/>
                <w:sz w:val="18"/>
                <w:szCs w:val="18"/>
              </w:rPr>
            </w:pPr>
          </w:p>
        </w:tc>
      </w:tr>
      <w:tr w14:paraId="3A8D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350E4F82">
            <w:pPr>
              <w:jc w:val="center"/>
              <w:rPr>
                <w:rFonts w:ascii="宋体" w:hAnsi="宋体"/>
                <w:sz w:val="18"/>
                <w:szCs w:val="18"/>
              </w:rPr>
            </w:pPr>
            <w:r>
              <w:rPr>
                <w:rFonts w:ascii="宋体" w:hAnsi="宋体"/>
                <w:sz w:val="18"/>
                <w:szCs w:val="18"/>
              </w:rPr>
              <w:t>11～15</w:t>
            </w:r>
          </w:p>
        </w:tc>
        <w:tc>
          <w:tcPr>
            <w:tcW w:w="1560" w:type="dxa"/>
            <w:vAlign w:val="center"/>
          </w:tcPr>
          <w:p w14:paraId="6F681338">
            <w:pPr>
              <w:jc w:val="center"/>
              <w:rPr>
                <w:rFonts w:ascii="宋体" w:hAnsi="宋体"/>
                <w:sz w:val="18"/>
                <w:szCs w:val="18"/>
              </w:rPr>
            </w:pPr>
            <w:r>
              <w:rPr>
                <w:rFonts w:ascii="宋体" w:hAnsi="宋体"/>
                <w:sz w:val="18"/>
                <w:szCs w:val="18"/>
              </w:rPr>
              <w:t>2.5</w:t>
            </w:r>
          </w:p>
        </w:tc>
        <w:tc>
          <w:tcPr>
            <w:tcW w:w="1559" w:type="dxa"/>
            <w:vAlign w:val="center"/>
          </w:tcPr>
          <w:p w14:paraId="27C970F2">
            <w:pPr>
              <w:jc w:val="center"/>
              <w:rPr>
                <w:rFonts w:ascii="宋体" w:hAnsi="宋体"/>
                <w:sz w:val="18"/>
                <w:szCs w:val="18"/>
              </w:rPr>
            </w:pPr>
            <w:r>
              <w:rPr>
                <w:rFonts w:ascii="宋体" w:hAnsi="宋体"/>
                <w:sz w:val="18"/>
                <w:szCs w:val="18"/>
              </w:rPr>
              <w:t>3.5</w:t>
            </w:r>
          </w:p>
        </w:tc>
        <w:tc>
          <w:tcPr>
            <w:tcW w:w="1559" w:type="dxa"/>
            <w:vAlign w:val="center"/>
          </w:tcPr>
          <w:p w14:paraId="4F0AD220">
            <w:pPr>
              <w:jc w:val="center"/>
              <w:rPr>
                <w:rFonts w:ascii="宋体" w:hAnsi="宋体"/>
                <w:sz w:val="18"/>
                <w:szCs w:val="18"/>
              </w:rPr>
            </w:pPr>
            <w:r>
              <w:rPr>
                <w:rFonts w:ascii="宋体" w:hAnsi="宋体"/>
                <w:sz w:val="18"/>
                <w:szCs w:val="18"/>
              </w:rPr>
              <w:t>6</w:t>
            </w:r>
          </w:p>
        </w:tc>
        <w:tc>
          <w:tcPr>
            <w:tcW w:w="1559" w:type="dxa"/>
          </w:tcPr>
          <w:p w14:paraId="285F75EF">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21E7D6A8">
            <w:pPr>
              <w:jc w:val="center"/>
              <w:rPr>
                <w:rFonts w:ascii="宋体" w:hAnsi="宋体"/>
                <w:sz w:val="18"/>
                <w:szCs w:val="18"/>
              </w:rPr>
            </w:pPr>
          </w:p>
        </w:tc>
      </w:tr>
      <w:tr w14:paraId="151A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2937E2EE">
            <w:pPr>
              <w:jc w:val="center"/>
              <w:rPr>
                <w:rFonts w:ascii="宋体" w:hAnsi="宋体"/>
                <w:sz w:val="18"/>
                <w:szCs w:val="18"/>
              </w:rPr>
            </w:pPr>
            <w:r>
              <w:rPr>
                <w:rFonts w:ascii="宋体" w:hAnsi="宋体"/>
                <w:sz w:val="18"/>
                <w:szCs w:val="18"/>
              </w:rPr>
              <w:t>16～25</w:t>
            </w:r>
          </w:p>
        </w:tc>
        <w:tc>
          <w:tcPr>
            <w:tcW w:w="1560" w:type="dxa"/>
            <w:vAlign w:val="center"/>
          </w:tcPr>
          <w:p w14:paraId="7DD43544">
            <w:pPr>
              <w:jc w:val="center"/>
              <w:rPr>
                <w:rFonts w:ascii="宋体" w:hAnsi="宋体"/>
                <w:sz w:val="18"/>
                <w:szCs w:val="18"/>
              </w:rPr>
            </w:pPr>
            <w:r>
              <w:rPr>
                <w:rFonts w:ascii="宋体" w:hAnsi="宋体"/>
                <w:sz w:val="18"/>
                <w:szCs w:val="18"/>
              </w:rPr>
              <w:t>3</w:t>
            </w:r>
          </w:p>
        </w:tc>
        <w:tc>
          <w:tcPr>
            <w:tcW w:w="1559" w:type="dxa"/>
            <w:vAlign w:val="center"/>
          </w:tcPr>
          <w:p w14:paraId="659C9F69">
            <w:pPr>
              <w:jc w:val="center"/>
              <w:rPr>
                <w:rFonts w:ascii="宋体" w:hAnsi="宋体"/>
                <w:sz w:val="18"/>
                <w:szCs w:val="18"/>
              </w:rPr>
            </w:pPr>
            <w:r>
              <w:rPr>
                <w:rFonts w:ascii="宋体" w:hAnsi="宋体"/>
                <w:sz w:val="18"/>
                <w:szCs w:val="18"/>
              </w:rPr>
              <w:t>4.5</w:t>
            </w:r>
          </w:p>
        </w:tc>
        <w:tc>
          <w:tcPr>
            <w:tcW w:w="1559" w:type="dxa"/>
            <w:vAlign w:val="center"/>
          </w:tcPr>
          <w:p w14:paraId="75AA4BF9">
            <w:pPr>
              <w:jc w:val="center"/>
              <w:rPr>
                <w:rFonts w:ascii="宋体" w:hAnsi="宋体"/>
                <w:sz w:val="18"/>
                <w:szCs w:val="18"/>
              </w:rPr>
            </w:pPr>
            <w:r>
              <w:rPr>
                <w:rFonts w:ascii="宋体" w:hAnsi="宋体"/>
                <w:sz w:val="18"/>
                <w:szCs w:val="18"/>
              </w:rPr>
              <w:t>7</w:t>
            </w:r>
          </w:p>
        </w:tc>
        <w:tc>
          <w:tcPr>
            <w:tcW w:w="1559" w:type="dxa"/>
          </w:tcPr>
          <w:p w14:paraId="55845E96">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51CB96CD">
            <w:pPr>
              <w:jc w:val="center"/>
              <w:rPr>
                <w:rFonts w:ascii="宋体" w:hAnsi="宋体"/>
                <w:sz w:val="18"/>
                <w:szCs w:val="18"/>
              </w:rPr>
            </w:pPr>
          </w:p>
        </w:tc>
      </w:tr>
      <w:tr w14:paraId="18B3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45199E47">
            <w:pPr>
              <w:jc w:val="center"/>
              <w:rPr>
                <w:rFonts w:ascii="宋体" w:hAnsi="宋体"/>
                <w:sz w:val="18"/>
                <w:szCs w:val="18"/>
              </w:rPr>
            </w:pPr>
            <w:r>
              <w:rPr>
                <w:rFonts w:ascii="宋体" w:hAnsi="宋体"/>
                <w:sz w:val="18"/>
                <w:szCs w:val="18"/>
              </w:rPr>
              <w:t>26～45</w:t>
            </w:r>
          </w:p>
        </w:tc>
        <w:tc>
          <w:tcPr>
            <w:tcW w:w="1560" w:type="dxa"/>
            <w:vAlign w:val="center"/>
          </w:tcPr>
          <w:p w14:paraId="51E288CB">
            <w:pPr>
              <w:jc w:val="center"/>
              <w:rPr>
                <w:rFonts w:ascii="宋体" w:hAnsi="宋体"/>
                <w:sz w:val="18"/>
                <w:szCs w:val="18"/>
              </w:rPr>
            </w:pPr>
            <w:r>
              <w:rPr>
                <w:rFonts w:ascii="宋体" w:hAnsi="宋体"/>
                <w:sz w:val="18"/>
                <w:szCs w:val="18"/>
              </w:rPr>
              <w:t>4</w:t>
            </w:r>
          </w:p>
        </w:tc>
        <w:tc>
          <w:tcPr>
            <w:tcW w:w="1559" w:type="dxa"/>
            <w:vAlign w:val="center"/>
          </w:tcPr>
          <w:p w14:paraId="086B1D37">
            <w:pPr>
              <w:jc w:val="center"/>
              <w:rPr>
                <w:rFonts w:ascii="宋体" w:hAnsi="宋体"/>
                <w:sz w:val="18"/>
                <w:szCs w:val="18"/>
              </w:rPr>
            </w:pPr>
            <w:r>
              <w:rPr>
                <w:rFonts w:ascii="宋体" w:hAnsi="宋体"/>
                <w:sz w:val="18"/>
                <w:szCs w:val="18"/>
              </w:rPr>
              <w:t>5.5</w:t>
            </w:r>
          </w:p>
        </w:tc>
        <w:tc>
          <w:tcPr>
            <w:tcW w:w="1559" w:type="dxa"/>
            <w:vAlign w:val="center"/>
          </w:tcPr>
          <w:p w14:paraId="2CBA094F">
            <w:pPr>
              <w:jc w:val="center"/>
              <w:rPr>
                <w:rFonts w:ascii="宋体" w:hAnsi="宋体"/>
                <w:sz w:val="18"/>
                <w:szCs w:val="18"/>
              </w:rPr>
            </w:pPr>
            <w:r>
              <w:rPr>
                <w:rFonts w:ascii="宋体" w:hAnsi="宋体"/>
                <w:sz w:val="18"/>
                <w:szCs w:val="18"/>
              </w:rPr>
              <w:t>8.5</w:t>
            </w:r>
          </w:p>
        </w:tc>
        <w:tc>
          <w:tcPr>
            <w:tcW w:w="1559" w:type="dxa"/>
          </w:tcPr>
          <w:p w14:paraId="3893825B">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49AD3086">
            <w:pPr>
              <w:jc w:val="center"/>
              <w:rPr>
                <w:rFonts w:ascii="宋体" w:hAnsi="宋体"/>
                <w:sz w:val="18"/>
                <w:szCs w:val="18"/>
              </w:rPr>
            </w:pPr>
          </w:p>
        </w:tc>
      </w:tr>
      <w:tr w14:paraId="7F98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75CCD185">
            <w:pPr>
              <w:jc w:val="center"/>
              <w:rPr>
                <w:rFonts w:ascii="宋体" w:hAnsi="宋体"/>
                <w:sz w:val="18"/>
                <w:szCs w:val="18"/>
              </w:rPr>
            </w:pPr>
            <w:r>
              <w:rPr>
                <w:rFonts w:ascii="宋体" w:hAnsi="宋体"/>
                <w:sz w:val="18"/>
                <w:szCs w:val="18"/>
              </w:rPr>
              <w:t>46～65</w:t>
            </w:r>
          </w:p>
        </w:tc>
        <w:tc>
          <w:tcPr>
            <w:tcW w:w="1560" w:type="dxa"/>
            <w:vAlign w:val="center"/>
          </w:tcPr>
          <w:p w14:paraId="5BF097AA">
            <w:pPr>
              <w:jc w:val="center"/>
              <w:rPr>
                <w:rFonts w:ascii="宋体" w:hAnsi="宋体"/>
                <w:sz w:val="18"/>
                <w:szCs w:val="18"/>
              </w:rPr>
            </w:pPr>
            <w:r>
              <w:rPr>
                <w:rFonts w:ascii="宋体" w:hAnsi="宋体"/>
                <w:sz w:val="18"/>
                <w:szCs w:val="18"/>
              </w:rPr>
              <w:t>5</w:t>
            </w:r>
          </w:p>
        </w:tc>
        <w:tc>
          <w:tcPr>
            <w:tcW w:w="1559" w:type="dxa"/>
            <w:vAlign w:val="center"/>
          </w:tcPr>
          <w:p w14:paraId="1F7BABF9">
            <w:pPr>
              <w:jc w:val="center"/>
              <w:rPr>
                <w:rFonts w:ascii="宋体" w:hAnsi="宋体"/>
                <w:sz w:val="18"/>
                <w:szCs w:val="18"/>
              </w:rPr>
            </w:pPr>
            <w:r>
              <w:rPr>
                <w:rFonts w:ascii="宋体" w:hAnsi="宋体"/>
                <w:sz w:val="18"/>
                <w:szCs w:val="18"/>
              </w:rPr>
              <w:t>6</w:t>
            </w:r>
          </w:p>
        </w:tc>
        <w:tc>
          <w:tcPr>
            <w:tcW w:w="1559" w:type="dxa"/>
            <w:vAlign w:val="center"/>
          </w:tcPr>
          <w:p w14:paraId="024F5141">
            <w:pPr>
              <w:jc w:val="center"/>
              <w:rPr>
                <w:rFonts w:ascii="宋体" w:hAnsi="宋体"/>
                <w:sz w:val="18"/>
                <w:szCs w:val="18"/>
              </w:rPr>
            </w:pPr>
            <w:r>
              <w:rPr>
                <w:rFonts w:ascii="宋体" w:hAnsi="宋体"/>
                <w:sz w:val="18"/>
                <w:szCs w:val="18"/>
              </w:rPr>
              <w:t>10</w:t>
            </w:r>
          </w:p>
        </w:tc>
        <w:tc>
          <w:tcPr>
            <w:tcW w:w="1559" w:type="dxa"/>
          </w:tcPr>
          <w:p w14:paraId="63BC7331">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29DC24F4">
            <w:pPr>
              <w:jc w:val="center"/>
              <w:rPr>
                <w:rFonts w:ascii="宋体" w:hAnsi="宋体"/>
                <w:sz w:val="18"/>
                <w:szCs w:val="18"/>
              </w:rPr>
            </w:pPr>
          </w:p>
        </w:tc>
      </w:tr>
      <w:tr w14:paraId="3D91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1F3A99B0">
            <w:pPr>
              <w:jc w:val="center"/>
              <w:rPr>
                <w:rFonts w:ascii="宋体" w:hAnsi="宋体"/>
                <w:sz w:val="18"/>
                <w:szCs w:val="18"/>
              </w:rPr>
            </w:pPr>
            <w:r>
              <w:rPr>
                <w:rFonts w:ascii="宋体" w:hAnsi="宋体"/>
                <w:sz w:val="18"/>
                <w:szCs w:val="18"/>
              </w:rPr>
              <w:t>66～85</w:t>
            </w:r>
          </w:p>
        </w:tc>
        <w:tc>
          <w:tcPr>
            <w:tcW w:w="1560" w:type="dxa"/>
            <w:vAlign w:val="center"/>
          </w:tcPr>
          <w:p w14:paraId="37424B40">
            <w:pPr>
              <w:jc w:val="center"/>
              <w:rPr>
                <w:rFonts w:ascii="宋体" w:hAnsi="宋体"/>
                <w:sz w:val="18"/>
                <w:szCs w:val="18"/>
              </w:rPr>
            </w:pPr>
            <w:r>
              <w:rPr>
                <w:rFonts w:ascii="宋体" w:hAnsi="宋体"/>
                <w:sz w:val="18"/>
                <w:szCs w:val="18"/>
              </w:rPr>
              <w:t>6</w:t>
            </w:r>
          </w:p>
        </w:tc>
        <w:tc>
          <w:tcPr>
            <w:tcW w:w="1559" w:type="dxa"/>
            <w:vAlign w:val="center"/>
          </w:tcPr>
          <w:p w14:paraId="3795D18F">
            <w:pPr>
              <w:jc w:val="center"/>
              <w:rPr>
                <w:rFonts w:ascii="宋体" w:hAnsi="宋体"/>
                <w:sz w:val="18"/>
                <w:szCs w:val="18"/>
              </w:rPr>
            </w:pPr>
            <w:r>
              <w:rPr>
                <w:rFonts w:ascii="宋体" w:hAnsi="宋体"/>
                <w:sz w:val="18"/>
                <w:szCs w:val="18"/>
              </w:rPr>
              <w:t>7</w:t>
            </w:r>
          </w:p>
        </w:tc>
        <w:tc>
          <w:tcPr>
            <w:tcW w:w="1559" w:type="dxa"/>
            <w:vAlign w:val="center"/>
          </w:tcPr>
          <w:p w14:paraId="4564F4AF">
            <w:pPr>
              <w:jc w:val="center"/>
              <w:rPr>
                <w:rFonts w:ascii="宋体" w:hAnsi="宋体"/>
                <w:sz w:val="18"/>
                <w:szCs w:val="18"/>
              </w:rPr>
            </w:pPr>
            <w:r>
              <w:rPr>
                <w:rFonts w:ascii="宋体" w:hAnsi="宋体"/>
                <w:sz w:val="18"/>
                <w:szCs w:val="18"/>
              </w:rPr>
              <w:t>11</w:t>
            </w:r>
          </w:p>
        </w:tc>
        <w:tc>
          <w:tcPr>
            <w:tcW w:w="1559" w:type="dxa"/>
          </w:tcPr>
          <w:p w14:paraId="71E3205B">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563E2D0F">
            <w:pPr>
              <w:jc w:val="center"/>
              <w:rPr>
                <w:rFonts w:ascii="宋体" w:hAnsi="宋体"/>
                <w:sz w:val="18"/>
                <w:szCs w:val="18"/>
              </w:rPr>
            </w:pPr>
          </w:p>
        </w:tc>
      </w:tr>
      <w:tr w14:paraId="6A9C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4023788B">
            <w:pPr>
              <w:jc w:val="center"/>
              <w:rPr>
                <w:rFonts w:ascii="宋体" w:hAnsi="宋体"/>
                <w:sz w:val="18"/>
                <w:szCs w:val="18"/>
              </w:rPr>
            </w:pPr>
            <w:r>
              <w:rPr>
                <w:rFonts w:ascii="宋体" w:hAnsi="宋体"/>
                <w:sz w:val="18"/>
                <w:szCs w:val="18"/>
              </w:rPr>
              <w:t>86～125</w:t>
            </w:r>
          </w:p>
        </w:tc>
        <w:tc>
          <w:tcPr>
            <w:tcW w:w="1560" w:type="dxa"/>
            <w:vAlign w:val="center"/>
          </w:tcPr>
          <w:p w14:paraId="394E007E">
            <w:pPr>
              <w:jc w:val="center"/>
              <w:rPr>
                <w:rFonts w:ascii="宋体" w:hAnsi="宋体"/>
                <w:sz w:val="18"/>
                <w:szCs w:val="18"/>
              </w:rPr>
            </w:pPr>
            <w:r>
              <w:rPr>
                <w:rFonts w:ascii="宋体" w:hAnsi="宋体"/>
                <w:sz w:val="18"/>
                <w:szCs w:val="18"/>
              </w:rPr>
              <w:t>7</w:t>
            </w:r>
          </w:p>
        </w:tc>
        <w:tc>
          <w:tcPr>
            <w:tcW w:w="1559" w:type="dxa"/>
            <w:vAlign w:val="center"/>
          </w:tcPr>
          <w:p w14:paraId="5ACDABCF">
            <w:pPr>
              <w:jc w:val="center"/>
              <w:rPr>
                <w:rFonts w:ascii="宋体" w:hAnsi="宋体"/>
                <w:sz w:val="18"/>
                <w:szCs w:val="18"/>
              </w:rPr>
            </w:pPr>
            <w:r>
              <w:rPr>
                <w:rFonts w:ascii="宋体" w:hAnsi="宋体"/>
                <w:sz w:val="18"/>
                <w:szCs w:val="18"/>
              </w:rPr>
              <w:t>8</w:t>
            </w:r>
          </w:p>
        </w:tc>
        <w:tc>
          <w:tcPr>
            <w:tcW w:w="1559" w:type="dxa"/>
            <w:vAlign w:val="center"/>
          </w:tcPr>
          <w:p w14:paraId="75DEAE9A">
            <w:pPr>
              <w:jc w:val="center"/>
              <w:rPr>
                <w:rFonts w:ascii="宋体" w:hAnsi="宋体"/>
                <w:sz w:val="18"/>
                <w:szCs w:val="18"/>
              </w:rPr>
            </w:pPr>
            <w:r>
              <w:rPr>
                <w:rFonts w:ascii="宋体" w:hAnsi="宋体"/>
                <w:sz w:val="18"/>
                <w:szCs w:val="18"/>
              </w:rPr>
              <w:t>12</w:t>
            </w:r>
          </w:p>
        </w:tc>
        <w:tc>
          <w:tcPr>
            <w:tcW w:w="1559" w:type="dxa"/>
          </w:tcPr>
          <w:p w14:paraId="3084831D">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7043E0A1">
            <w:pPr>
              <w:jc w:val="center"/>
              <w:rPr>
                <w:rFonts w:ascii="宋体" w:hAnsi="宋体"/>
                <w:sz w:val="18"/>
                <w:szCs w:val="18"/>
              </w:rPr>
            </w:pPr>
          </w:p>
        </w:tc>
      </w:tr>
      <w:tr w14:paraId="503F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123CB1FD">
            <w:pPr>
              <w:jc w:val="center"/>
              <w:rPr>
                <w:rFonts w:ascii="宋体" w:hAnsi="宋体"/>
                <w:sz w:val="18"/>
                <w:szCs w:val="18"/>
              </w:rPr>
            </w:pPr>
            <w:r>
              <w:rPr>
                <w:rFonts w:ascii="宋体" w:hAnsi="宋体"/>
                <w:sz w:val="18"/>
                <w:szCs w:val="18"/>
              </w:rPr>
              <w:t>126～175</w:t>
            </w:r>
          </w:p>
        </w:tc>
        <w:tc>
          <w:tcPr>
            <w:tcW w:w="1560" w:type="dxa"/>
            <w:vAlign w:val="center"/>
          </w:tcPr>
          <w:p w14:paraId="0B744EA9">
            <w:pPr>
              <w:jc w:val="center"/>
              <w:rPr>
                <w:rFonts w:ascii="宋体" w:hAnsi="宋体"/>
                <w:sz w:val="18"/>
                <w:szCs w:val="18"/>
              </w:rPr>
            </w:pPr>
            <w:r>
              <w:rPr>
                <w:rFonts w:ascii="宋体" w:hAnsi="宋体"/>
                <w:sz w:val="18"/>
                <w:szCs w:val="18"/>
              </w:rPr>
              <w:t>8</w:t>
            </w:r>
          </w:p>
        </w:tc>
        <w:tc>
          <w:tcPr>
            <w:tcW w:w="1559" w:type="dxa"/>
            <w:vAlign w:val="center"/>
          </w:tcPr>
          <w:p w14:paraId="540F241A">
            <w:pPr>
              <w:jc w:val="center"/>
              <w:rPr>
                <w:rFonts w:ascii="宋体" w:hAnsi="宋体"/>
                <w:sz w:val="18"/>
                <w:szCs w:val="18"/>
              </w:rPr>
            </w:pPr>
            <w:r>
              <w:rPr>
                <w:rFonts w:ascii="宋体" w:hAnsi="宋体"/>
                <w:sz w:val="18"/>
                <w:szCs w:val="18"/>
              </w:rPr>
              <w:t>9</w:t>
            </w:r>
          </w:p>
        </w:tc>
        <w:tc>
          <w:tcPr>
            <w:tcW w:w="1559" w:type="dxa"/>
            <w:vAlign w:val="center"/>
          </w:tcPr>
          <w:p w14:paraId="509FD0F7">
            <w:pPr>
              <w:jc w:val="center"/>
              <w:rPr>
                <w:rFonts w:ascii="宋体" w:hAnsi="宋体"/>
                <w:sz w:val="18"/>
                <w:szCs w:val="18"/>
              </w:rPr>
            </w:pPr>
            <w:r>
              <w:rPr>
                <w:rFonts w:ascii="宋体" w:hAnsi="宋体"/>
                <w:sz w:val="18"/>
                <w:szCs w:val="18"/>
              </w:rPr>
              <w:t>13</w:t>
            </w:r>
          </w:p>
        </w:tc>
        <w:tc>
          <w:tcPr>
            <w:tcW w:w="1559" w:type="dxa"/>
          </w:tcPr>
          <w:p w14:paraId="22ED7195">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2E994F3A">
            <w:pPr>
              <w:jc w:val="center"/>
              <w:rPr>
                <w:rFonts w:ascii="宋体" w:hAnsi="宋体"/>
                <w:sz w:val="18"/>
                <w:szCs w:val="18"/>
              </w:rPr>
            </w:pPr>
          </w:p>
        </w:tc>
      </w:tr>
      <w:tr w14:paraId="50DA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4B1E9764">
            <w:pPr>
              <w:jc w:val="center"/>
              <w:rPr>
                <w:rFonts w:ascii="宋体" w:hAnsi="宋体"/>
                <w:sz w:val="18"/>
                <w:szCs w:val="18"/>
              </w:rPr>
            </w:pPr>
            <w:r>
              <w:rPr>
                <w:rFonts w:ascii="宋体" w:hAnsi="宋体"/>
                <w:sz w:val="18"/>
                <w:szCs w:val="18"/>
              </w:rPr>
              <w:t>176～275</w:t>
            </w:r>
          </w:p>
        </w:tc>
        <w:tc>
          <w:tcPr>
            <w:tcW w:w="1560" w:type="dxa"/>
            <w:vAlign w:val="center"/>
          </w:tcPr>
          <w:p w14:paraId="1DACC4FA">
            <w:pPr>
              <w:jc w:val="center"/>
              <w:rPr>
                <w:rFonts w:ascii="宋体" w:hAnsi="宋体"/>
                <w:sz w:val="18"/>
                <w:szCs w:val="18"/>
              </w:rPr>
            </w:pPr>
            <w:r>
              <w:rPr>
                <w:rFonts w:ascii="宋体" w:hAnsi="宋体"/>
                <w:sz w:val="18"/>
                <w:szCs w:val="18"/>
              </w:rPr>
              <w:t>9</w:t>
            </w:r>
          </w:p>
        </w:tc>
        <w:tc>
          <w:tcPr>
            <w:tcW w:w="1559" w:type="dxa"/>
            <w:vAlign w:val="center"/>
          </w:tcPr>
          <w:p w14:paraId="075EEE79">
            <w:pPr>
              <w:jc w:val="center"/>
              <w:rPr>
                <w:rFonts w:ascii="宋体" w:hAnsi="宋体"/>
                <w:sz w:val="18"/>
                <w:szCs w:val="18"/>
              </w:rPr>
            </w:pPr>
            <w:r>
              <w:rPr>
                <w:rFonts w:ascii="宋体" w:hAnsi="宋体"/>
                <w:sz w:val="18"/>
                <w:szCs w:val="18"/>
              </w:rPr>
              <w:t>10</w:t>
            </w:r>
          </w:p>
        </w:tc>
        <w:tc>
          <w:tcPr>
            <w:tcW w:w="1559" w:type="dxa"/>
            <w:vAlign w:val="center"/>
          </w:tcPr>
          <w:p w14:paraId="346A5BCC">
            <w:pPr>
              <w:jc w:val="center"/>
              <w:rPr>
                <w:rFonts w:ascii="宋体" w:hAnsi="宋体"/>
                <w:sz w:val="18"/>
                <w:szCs w:val="18"/>
              </w:rPr>
            </w:pPr>
            <w:r>
              <w:rPr>
                <w:rFonts w:ascii="宋体" w:hAnsi="宋体"/>
                <w:sz w:val="18"/>
                <w:szCs w:val="18"/>
              </w:rPr>
              <w:t>14</w:t>
            </w:r>
          </w:p>
        </w:tc>
        <w:tc>
          <w:tcPr>
            <w:tcW w:w="1559" w:type="dxa"/>
          </w:tcPr>
          <w:p w14:paraId="2BCF64E6">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29B3A89D">
            <w:pPr>
              <w:jc w:val="center"/>
              <w:rPr>
                <w:rFonts w:ascii="宋体" w:hAnsi="宋体"/>
                <w:sz w:val="18"/>
                <w:szCs w:val="18"/>
              </w:rPr>
            </w:pPr>
          </w:p>
        </w:tc>
      </w:tr>
      <w:tr w14:paraId="2341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6CEAF493">
            <w:pPr>
              <w:jc w:val="center"/>
              <w:rPr>
                <w:rFonts w:ascii="宋体" w:hAnsi="宋体"/>
                <w:sz w:val="18"/>
                <w:szCs w:val="18"/>
              </w:rPr>
            </w:pPr>
            <w:r>
              <w:rPr>
                <w:rFonts w:ascii="宋体" w:hAnsi="宋体"/>
                <w:sz w:val="18"/>
                <w:szCs w:val="18"/>
              </w:rPr>
              <w:t>276～425</w:t>
            </w:r>
          </w:p>
        </w:tc>
        <w:tc>
          <w:tcPr>
            <w:tcW w:w="1560" w:type="dxa"/>
            <w:vAlign w:val="center"/>
          </w:tcPr>
          <w:p w14:paraId="44683673">
            <w:pPr>
              <w:jc w:val="center"/>
              <w:rPr>
                <w:rFonts w:ascii="宋体" w:hAnsi="宋体"/>
                <w:sz w:val="18"/>
                <w:szCs w:val="18"/>
              </w:rPr>
            </w:pPr>
            <w:r>
              <w:rPr>
                <w:rFonts w:ascii="宋体" w:hAnsi="宋体"/>
                <w:sz w:val="18"/>
                <w:szCs w:val="18"/>
              </w:rPr>
              <w:t>10</w:t>
            </w:r>
          </w:p>
        </w:tc>
        <w:tc>
          <w:tcPr>
            <w:tcW w:w="1559" w:type="dxa"/>
            <w:vAlign w:val="center"/>
          </w:tcPr>
          <w:p w14:paraId="3F0F5E9F">
            <w:pPr>
              <w:jc w:val="center"/>
              <w:rPr>
                <w:rFonts w:ascii="宋体" w:hAnsi="宋体"/>
                <w:sz w:val="18"/>
                <w:szCs w:val="18"/>
              </w:rPr>
            </w:pPr>
            <w:r>
              <w:rPr>
                <w:rFonts w:ascii="宋体" w:hAnsi="宋体"/>
                <w:sz w:val="18"/>
                <w:szCs w:val="18"/>
              </w:rPr>
              <w:t>11</w:t>
            </w:r>
          </w:p>
        </w:tc>
        <w:tc>
          <w:tcPr>
            <w:tcW w:w="1559" w:type="dxa"/>
            <w:vAlign w:val="center"/>
          </w:tcPr>
          <w:p w14:paraId="4F6ACD69">
            <w:pPr>
              <w:jc w:val="center"/>
              <w:rPr>
                <w:rFonts w:ascii="宋体" w:hAnsi="宋体"/>
                <w:sz w:val="18"/>
                <w:szCs w:val="18"/>
              </w:rPr>
            </w:pPr>
            <w:r>
              <w:rPr>
                <w:rFonts w:ascii="宋体" w:hAnsi="宋体"/>
                <w:sz w:val="18"/>
                <w:szCs w:val="18"/>
              </w:rPr>
              <w:t>15</w:t>
            </w:r>
          </w:p>
        </w:tc>
        <w:tc>
          <w:tcPr>
            <w:tcW w:w="1559" w:type="dxa"/>
          </w:tcPr>
          <w:p w14:paraId="31BDC56F">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5CA6F965">
            <w:pPr>
              <w:jc w:val="center"/>
              <w:rPr>
                <w:rFonts w:ascii="宋体" w:hAnsi="宋体"/>
                <w:sz w:val="18"/>
                <w:szCs w:val="18"/>
              </w:rPr>
            </w:pPr>
          </w:p>
        </w:tc>
      </w:tr>
      <w:tr w14:paraId="14E7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5FB298EB">
            <w:pPr>
              <w:jc w:val="center"/>
              <w:rPr>
                <w:rFonts w:ascii="宋体" w:hAnsi="宋体"/>
                <w:sz w:val="18"/>
                <w:szCs w:val="18"/>
              </w:rPr>
            </w:pPr>
            <w:r>
              <w:rPr>
                <w:rFonts w:ascii="宋体" w:hAnsi="宋体"/>
                <w:sz w:val="18"/>
                <w:szCs w:val="18"/>
              </w:rPr>
              <w:t>426～625</w:t>
            </w:r>
          </w:p>
        </w:tc>
        <w:tc>
          <w:tcPr>
            <w:tcW w:w="1560" w:type="dxa"/>
            <w:vAlign w:val="center"/>
          </w:tcPr>
          <w:p w14:paraId="695A36DF">
            <w:pPr>
              <w:jc w:val="center"/>
              <w:rPr>
                <w:rFonts w:ascii="宋体" w:hAnsi="宋体"/>
                <w:sz w:val="18"/>
                <w:szCs w:val="18"/>
              </w:rPr>
            </w:pPr>
            <w:r>
              <w:rPr>
                <w:rFonts w:ascii="宋体" w:hAnsi="宋体"/>
                <w:sz w:val="18"/>
                <w:szCs w:val="18"/>
              </w:rPr>
              <w:t>11</w:t>
            </w:r>
          </w:p>
        </w:tc>
        <w:tc>
          <w:tcPr>
            <w:tcW w:w="1559" w:type="dxa"/>
            <w:vAlign w:val="center"/>
          </w:tcPr>
          <w:p w14:paraId="7A1CF713">
            <w:pPr>
              <w:jc w:val="center"/>
              <w:rPr>
                <w:rFonts w:ascii="宋体" w:hAnsi="宋体"/>
                <w:sz w:val="18"/>
                <w:szCs w:val="18"/>
              </w:rPr>
            </w:pPr>
            <w:r>
              <w:rPr>
                <w:rFonts w:ascii="宋体" w:hAnsi="宋体"/>
                <w:sz w:val="18"/>
                <w:szCs w:val="18"/>
              </w:rPr>
              <w:t>12</w:t>
            </w:r>
          </w:p>
        </w:tc>
        <w:tc>
          <w:tcPr>
            <w:tcW w:w="1559" w:type="dxa"/>
            <w:vAlign w:val="center"/>
          </w:tcPr>
          <w:p w14:paraId="21DE3F27">
            <w:pPr>
              <w:jc w:val="center"/>
              <w:rPr>
                <w:rFonts w:ascii="宋体" w:hAnsi="宋体"/>
                <w:sz w:val="18"/>
                <w:szCs w:val="18"/>
              </w:rPr>
            </w:pPr>
            <w:r>
              <w:rPr>
                <w:rFonts w:ascii="宋体" w:hAnsi="宋体"/>
                <w:sz w:val="18"/>
                <w:szCs w:val="18"/>
              </w:rPr>
              <w:t>16.5</w:t>
            </w:r>
          </w:p>
        </w:tc>
        <w:tc>
          <w:tcPr>
            <w:tcW w:w="1559" w:type="dxa"/>
          </w:tcPr>
          <w:p w14:paraId="0B12A5E2">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6729C246">
            <w:pPr>
              <w:jc w:val="center"/>
              <w:rPr>
                <w:rFonts w:ascii="宋体" w:hAnsi="宋体"/>
                <w:sz w:val="18"/>
                <w:szCs w:val="18"/>
              </w:rPr>
            </w:pPr>
          </w:p>
        </w:tc>
      </w:tr>
      <w:tr w14:paraId="3D73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120F24EB">
            <w:pPr>
              <w:jc w:val="center"/>
              <w:rPr>
                <w:rFonts w:ascii="宋体" w:hAnsi="宋体"/>
                <w:sz w:val="18"/>
                <w:szCs w:val="18"/>
              </w:rPr>
            </w:pPr>
            <w:r>
              <w:rPr>
                <w:rFonts w:ascii="宋体" w:hAnsi="宋体"/>
                <w:sz w:val="18"/>
                <w:szCs w:val="18"/>
              </w:rPr>
              <w:t>626～875</w:t>
            </w:r>
          </w:p>
        </w:tc>
        <w:tc>
          <w:tcPr>
            <w:tcW w:w="1560" w:type="dxa"/>
            <w:vAlign w:val="center"/>
          </w:tcPr>
          <w:p w14:paraId="53396C90">
            <w:pPr>
              <w:jc w:val="center"/>
              <w:rPr>
                <w:rFonts w:ascii="宋体" w:hAnsi="宋体"/>
                <w:sz w:val="18"/>
                <w:szCs w:val="18"/>
              </w:rPr>
            </w:pPr>
            <w:r>
              <w:rPr>
                <w:rFonts w:ascii="宋体" w:hAnsi="宋体"/>
                <w:sz w:val="18"/>
                <w:szCs w:val="18"/>
              </w:rPr>
              <w:t>12</w:t>
            </w:r>
          </w:p>
        </w:tc>
        <w:tc>
          <w:tcPr>
            <w:tcW w:w="1559" w:type="dxa"/>
            <w:vAlign w:val="center"/>
          </w:tcPr>
          <w:p w14:paraId="239263A8">
            <w:pPr>
              <w:jc w:val="center"/>
              <w:rPr>
                <w:rFonts w:ascii="宋体" w:hAnsi="宋体"/>
                <w:sz w:val="18"/>
                <w:szCs w:val="18"/>
              </w:rPr>
            </w:pPr>
            <w:r>
              <w:rPr>
                <w:rFonts w:ascii="宋体" w:hAnsi="宋体"/>
                <w:sz w:val="18"/>
                <w:szCs w:val="18"/>
              </w:rPr>
              <w:t>13</w:t>
            </w:r>
          </w:p>
        </w:tc>
        <w:tc>
          <w:tcPr>
            <w:tcW w:w="1559" w:type="dxa"/>
            <w:vAlign w:val="center"/>
          </w:tcPr>
          <w:p w14:paraId="4C34EA64">
            <w:pPr>
              <w:jc w:val="center"/>
              <w:rPr>
                <w:rFonts w:ascii="宋体" w:hAnsi="宋体"/>
                <w:sz w:val="18"/>
                <w:szCs w:val="18"/>
              </w:rPr>
            </w:pPr>
            <w:r>
              <w:rPr>
                <w:rFonts w:ascii="宋体" w:hAnsi="宋体"/>
                <w:sz w:val="18"/>
                <w:szCs w:val="18"/>
              </w:rPr>
              <w:t>17.5</w:t>
            </w:r>
          </w:p>
        </w:tc>
        <w:tc>
          <w:tcPr>
            <w:tcW w:w="1559" w:type="dxa"/>
          </w:tcPr>
          <w:p w14:paraId="04264FC9">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3BFDFBF8">
            <w:pPr>
              <w:jc w:val="center"/>
              <w:rPr>
                <w:rFonts w:ascii="宋体" w:hAnsi="宋体"/>
                <w:sz w:val="18"/>
                <w:szCs w:val="18"/>
              </w:rPr>
            </w:pPr>
          </w:p>
        </w:tc>
      </w:tr>
      <w:tr w14:paraId="0E77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46E27C8C">
            <w:pPr>
              <w:jc w:val="center"/>
              <w:rPr>
                <w:rFonts w:ascii="宋体" w:hAnsi="宋体"/>
                <w:sz w:val="18"/>
                <w:szCs w:val="18"/>
              </w:rPr>
            </w:pPr>
            <w:r>
              <w:rPr>
                <w:rFonts w:ascii="宋体" w:hAnsi="宋体"/>
                <w:sz w:val="18"/>
                <w:szCs w:val="18"/>
              </w:rPr>
              <w:t>876～1175</w:t>
            </w:r>
          </w:p>
        </w:tc>
        <w:tc>
          <w:tcPr>
            <w:tcW w:w="1560" w:type="dxa"/>
            <w:vAlign w:val="center"/>
          </w:tcPr>
          <w:p w14:paraId="5BDEE920">
            <w:pPr>
              <w:jc w:val="center"/>
              <w:rPr>
                <w:rFonts w:ascii="宋体" w:hAnsi="宋体"/>
                <w:sz w:val="18"/>
                <w:szCs w:val="18"/>
              </w:rPr>
            </w:pPr>
            <w:r>
              <w:rPr>
                <w:rFonts w:ascii="宋体" w:hAnsi="宋体"/>
                <w:sz w:val="18"/>
                <w:szCs w:val="18"/>
              </w:rPr>
              <w:t>13</w:t>
            </w:r>
          </w:p>
        </w:tc>
        <w:tc>
          <w:tcPr>
            <w:tcW w:w="1559" w:type="dxa"/>
            <w:vAlign w:val="center"/>
          </w:tcPr>
          <w:p w14:paraId="7A52DCE0">
            <w:pPr>
              <w:jc w:val="center"/>
              <w:rPr>
                <w:rFonts w:ascii="宋体" w:hAnsi="宋体"/>
                <w:sz w:val="18"/>
                <w:szCs w:val="18"/>
              </w:rPr>
            </w:pPr>
            <w:r>
              <w:rPr>
                <w:rFonts w:ascii="宋体" w:hAnsi="宋体"/>
                <w:sz w:val="18"/>
                <w:szCs w:val="18"/>
              </w:rPr>
              <w:t>15</w:t>
            </w:r>
          </w:p>
        </w:tc>
        <w:tc>
          <w:tcPr>
            <w:tcW w:w="1559" w:type="dxa"/>
            <w:vAlign w:val="center"/>
          </w:tcPr>
          <w:p w14:paraId="49057556">
            <w:pPr>
              <w:jc w:val="center"/>
              <w:rPr>
                <w:rFonts w:ascii="宋体" w:hAnsi="宋体"/>
                <w:sz w:val="18"/>
                <w:szCs w:val="18"/>
              </w:rPr>
            </w:pPr>
            <w:r>
              <w:rPr>
                <w:rFonts w:ascii="宋体" w:hAnsi="宋体"/>
                <w:sz w:val="18"/>
                <w:szCs w:val="18"/>
              </w:rPr>
              <w:t>18.5</w:t>
            </w:r>
          </w:p>
        </w:tc>
        <w:tc>
          <w:tcPr>
            <w:tcW w:w="1559" w:type="dxa"/>
          </w:tcPr>
          <w:p w14:paraId="467399F3">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447C89F3">
            <w:pPr>
              <w:jc w:val="center"/>
              <w:rPr>
                <w:rFonts w:ascii="宋体" w:hAnsi="宋体"/>
                <w:sz w:val="18"/>
                <w:szCs w:val="18"/>
              </w:rPr>
            </w:pPr>
          </w:p>
        </w:tc>
      </w:tr>
      <w:tr w14:paraId="688F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274BDB52">
            <w:pPr>
              <w:jc w:val="center"/>
              <w:rPr>
                <w:rFonts w:ascii="宋体" w:hAnsi="宋体"/>
                <w:sz w:val="18"/>
                <w:szCs w:val="18"/>
              </w:rPr>
            </w:pPr>
            <w:r>
              <w:rPr>
                <w:rFonts w:ascii="宋体" w:hAnsi="宋体"/>
                <w:sz w:val="18"/>
                <w:szCs w:val="18"/>
              </w:rPr>
              <w:t>1176～1550</w:t>
            </w:r>
          </w:p>
        </w:tc>
        <w:tc>
          <w:tcPr>
            <w:tcW w:w="1560" w:type="dxa"/>
            <w:vAlign w:val="center"/>
          </w:tcPr>
          <w:p w14:paraId="5AEA0EB4">
            <w:pPr>
              <w:jc w:val="center"/>
              <w:rPr>
                <w:rFonts w:ascii="宋体" w:hAnsi="宋体"/>
                <w:sz w:val="18"/>
                <w:szCs w:val="18"/>
              </w:rPr>
            </w:pPr>
            <w:r>
              <w:rPr>
                <w:rFonts w:ascii="宋体" w:hAnsi="宋体"/>
                <w:sz w:val="18"/>
                <w:szCs w:val="18"/>
              </w:rPr>
              <w:t>14</w:t>
            </w:r>
          </w:p>
        </w:tc>
        <w:tc>
          <w:tcPr>
            <w:tcW w:w="1559" w:type="dxa"/>
            <w:vAlign w:val="center"/>
          </w:tcPr>
          <w:p w14:paraId="19CD23DE">
            <w:pPr>
              <w:jc w:val="center"/>
              <w:rPr>
                <w:rFonts w:ascii="宋体" w:hAnsi="宋体"/>
                <w:sz w:val="18"/>
                <w:szCs w:val="18"/>
              </w:rPr>
            </w:pPr>
            <w:r>
              <w:rPr>
                <w:rFonts w:ascii="宋体" w:hAnsi="宋体"/>
                <w:sz w:val="18"/>
                <w:szCs w:val="18"/>
              </w:rPr>
              <w:t>16</w:t>
            </w:r>
          </w:p>
        </w:tc>
        <w:tc>
          <w:tcPr>
            <w:tcW w:w="1559" w:type="dxa"/>
            <w:vAlign w:val="center"/>
          </w:tcPr>
          <w:p w14:paraId="04A92A0D">
            <w:pPr>
              <w:jc w:val="center"/>
              <w:rPr>
                <w:rFonts w:ascii="宋体" w:hAnsi="宋体"/>
                <w:sz w:val="18"/>
                <w:szCs w:val="18"/>
              </w:rPr>
            </w:pPr>
            <w:r>
              <w:rPr>
                <w:rFonts w:ascii="宋体" w:hAnsi="宋体"/>
                <w:sz w:val="18"/>
                <w:szCs w:val="18"/>
              </w:rPr>
              <w:t>19.5</w:t>
            </w:r>
          </w:p>
        </w:tc>
        <w:tc>
          <w:tcPr>
            <w:tcW w:w="1559" w:type="dxa"/>
          </w:tcPr>
          <w:p w14:paraId="2561C1DA">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4A1023C8">
            <w:pPr>
              <w:jc w:val="center"/>
              <w:rPr>
                <w:rFonts w:ascii="宋体" w:hAnsi="宋体"/>
                <w:sz w:val="18"/>
                <w:szCs w:val="18"/>
              </w:rPr>
            </w:pPr>
          </w:p>
        </w:tc>
      </w:tr>
      <w:tr w14:paraId="271B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0DF49043">
            <w:pPr>
              <w:jc w:val="center"/>
              <w:rPr>
                <w:rFonts w:ascii="宋体" w:hAnsi="宋体"/>
                <w:sz w:val="18"/>
                <w:szCs w:val="18"/>
              </w:rPr>
            </w:pPr>
            <w:r>
              <w:rPr>
                <w:rFonts w:ascii="宋体" w:hAnsi="宋体"/>
                <w:sz w:val="18"/>
                <w:szCs w:val="18"/>
              </w:rPr>
              <w:t>1551～2025</w:t>
            </w:r>
          </w:p>
        </w:tc>
        <w:tc>
          <w:tcPr>
            <w:tcW w:w="1560" w:type="dxa"/>
            <w:vAlign w:val="center"/>
          </w:tcPr>
          <w:p w14:paraId="42A01BDE">
            <w:pPr>
              <w:jc w:val="center"/>
              <w:rPr>
                <w:rFonts w:ascii="宋体" w:hAnsi="宋体"/>
                <w:sz w:val="18"/>
                <w:szCs w:val="18"/>
              </w:rPr>
            </w:pPr>
            <w:r>
              <w:rPr>
                <w:rFonts w:ascii="宋体" w:hAnsi="宋体"/>
                <w:sz w:val="18"/>
                <w:szCs w:val="18"/>
              </w:rPr>
              <w:t>15</w:t>
            </w:r>
          </w:p>
        </w:tc>
        <w:tc>
          <w:tcPr>
            <w:tcW w:w="1559" w:type="dxa"/>
            <w:vAlign w:val="center"/>
          </w:tcPr>
          <w:p w14:paraId="7F438198">
            <w:pPr>
              <w:jc w:val="center"/>
              <w:rPr>
                <w:rFonts w:ascii="宋体" w:hAnsi="宋体"/>
                <w:sz w:val="18"/>
                <w:szCs w:val="18"/>
              </w:rPr>
            </w:pPr>
            <w:r>
              <w:rPr>
                <w:rFonts w:ascii="宋体" w:hAnsi="宋体"/>
                <w:sz w:val="18"/>
                <w:szCs w:val="18"/>
              </w:rPr>
              <w:t>17</w:t>
            </w:r>
          </w:p>
        </w:tc>
        <w:tc>
          <w:tcPr>
            <w:tcW w:w="1559" w:type="dxa"/>
            <w:vAlign w:val="center"/>
          </w:tcPr>
          <w:p w14:paraId="513C805C">
            <w:pPr>
              <w:jc w:val="center"/>
              <w:rPr>
                <w:rFonts w:ascii="宋体" w:hAnsi="宋体"/>
                <w:sz w:val="18"/>
                <w:szCs w:val="18"/>
              </w:rPr>
            </w:pPr>
            <w:r>
              <w:rPr>
                <w:rFonts w:ascii="宋体" w:hAnsi="宋体"/>
                <w:sz w:val="18"/>
                <w:szCs w:val="18"/>
              </w:rPr>
              <w:t>21</w:t>
            </w:r>
          </w:p>
        </w:tc>
        <w:tc>
          <w:tcPr>
            <w:tcW w:w="1559" w:type="dxa"/>
          </w:tcPr>
          <w:p w14:paraId="62060557">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119938FB">
            <w:pPr>
              <w:jc w:val="center"/>
              <w:rPr>
                <w:rFonts w:ascii="宋体" w:hAnsi="宋体"/>
                <w:sz w:val="18"/>
                <w:szCs w:val="18"/>
              </w:rPr>
            </w:pPr>
          </w:p>
        </w:tc>
      </w:tr>
      <w:tr w14:paraId="6777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153A43F1">
            <w:pPr>
              <w:jc w:val="center"/>
              <w:rPr>
                <w:rFonts w:ascii="宋体" w:hAnsi="宋体"/>
                <w:sz w:val="18"/>
                <w:szCs w:val="18"/>
              </w:rPr>
            </w:pPr>
            <w:r>
              <w:rPr>
                <w:rFonts w:ascii="宋体" w:hAnsi="宋体"/>
                <w:sz w:val="18"/>
                <w:szCs w:val="18"/>
              </w:rPr>
              <w:t>2026～2675</w:t>
            </w:r>
          </w:p>
        </w:tc>
        <w:tc>
          <w:tcPr>
            <w:tcW w:w="1560" w:type="dxa"/>
            <w:vAlign w:val="center"/>
          </w:tcPr>
          <w:p w14:paraId="57E695BF">
            <w:pPr>
              <w:jc w:val="center"/>
              <w:rPr>
                <w:rFonts w:ascii="宋体" w:hAnsi="宋体"/>
                <w:sz w:val="18"/>
                <w:szCs w:val="18"/>
              </w:rPr>
            </w:pPr>
            <w:r>
              <w:rPr>
                <w:rFonts w:ascii="宋体" w:hAnsi="宋体"/>
                <w:sz w:val="18"/>
                <w:szCs w:val="18"/>
              </w:rPr>
              <w:t>16</w:t>
            </w:r>
          </w:p>
        </w:tc>
        <w:tc>
          <w:tcPr>
            <w:tcW w:w="1559" w:type="dxa"/>
            <w:vAlign w:val="center"/>
          </w:tcPr>
          <w:p w14:paraId="4FED1A29">
            <w:pPr>
              <w:jc w:val="center"/>
              <w:rPr>
                <w:rFonts w:ascii="宋体" w:hAnsi="宋体"/>
                <w:sz w:val="18"/>
                <w:szCs w:val="18"/>
              </w:rPr>
            </w:pPr>
            <w:r>
              <w:rPr>
                <w:rFonts w:ascii="宋体" w:hAnsi="宋体"/>
                <w:sz w:val="18"/>
                <w:szCs w:val="18"/>
              </w:rPr>
              <w:t>18</w:t>
            </w:r>
          </w:p>
        </w:tc>
        <w:tc>
          <w:tcPr>
            <w:tcW w:w="1559" w:type="dxa"/>
            <w:vAlign w:val="center"/>
          </w:tcPr>
          <w:p w14:paraId="0D295B87">
            <w:pPr>
              <w:jc w:val="center"/>
              <w:rPr>
                <w:rFonts w:ascii="宋体" w:hAnsi="宋体"/>
                <w:sz w:val="18"/>
                <w:szCs w:val="18"/>
              </w:rPr>
            </w:pPr>
            <w:r>
              <w:rPr>
                <w:rFonts w:ascii="宋体" w:hAnsi="宋体"/>
                <w:sz w:val="18"/>
                <w:szCs w:val="18"/>
              </w:rPr>
              <w:t>22</w:t>
            </w:r>
          </w:p>
        </w:tc>
        <w:tc>
          <w:tcPr>
            <w:tcW w:w="1559" w:type="dxa"/>
          </w:tcPr>
          <w:p w14:paraId="339179EB">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5BC3057E">
            <w:pPr>
              <w:jc w:val="center"/>
              <w:rPr>
                <w:rFonts w:ascii="宋体" w:hAnsi="宋体"/>
                <w:sz w:val="18"/>
                <w:szCs w:val="18"/>
              </w:rPr>
            </w:pPr>
          </w:p>
        </w:tc>
      </w:tr>
      <w:tr w14:paraId="5C95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3787D9CC">
            <w:pPr>
              <w:jc w:val="center"/>
              <w:rPr>
                <w:rFonts w:ascii="宋体" w:hAnsi="宋体"/>
                <w:sz w:val="18"/>
                <w:szCs w:val="18"/>
              </w:rPr>
            </w:pPr>
            <w:r>
              <w:rPr>
                <w:rFonts w:ascii="宋体" w:hAnsi="宋体"/>
                <w:sz w:val="18"/>
                <w:szCs w:val="18"/>
              </w:rPr>
              <w:t>2676～3450</w:t>
            </w:r>
          </w:p>
        </w:tc>
        <w:tc>
          <w:tcPr>
            <w:tcW w:w="1560" w:type="dxa"/>
            <w:vAlign w:val="center"/>
          </w:tcPr>
          <w:p w14:paraId="1B44BF47">
            <w:pPr>
              <w:jc w:val="center"/>
              <w:rPr>
                <w:rFonts w:ascii="宋体" w:hAnsi="宋体"/>
                <w:sz w:val="18"/>
                <w:szCs w:val="18"/>
              </w:rPr>
            </w:pPr>
            <w:r>
              <w:rPr>
                <w:rFonts w:ascii="宋体" w:hAnsi="宋体"/>
                <w:sz w:val="18"/>
                <w:szCs w:val="18"/>
              </w:rPr>
              <w:t>17</w:t>
            </w:r>
          </w:p>
        </w:tc>
        <w:tc>
          <w:tcPr>
            <w:tcW w:w="1559" w:type="dxa"/>
            <w:vAlign w:val="center"/>
          </w:tcPr>
          <w:p w14:paraId="3E26A815">
            <w:pPr>
              <w:jc w:val="center"/>
              <w:rPr>
                <w:rFonts w:ascii="宋体" w:hAnsi="宋体"/>
                <w:sz w:val="18"/>
                <w:szCs w:val="18"/>
              </w:rPr>
            </w:pPr>
            <w:r>
              <w:rPr>
                <w:rFonts w:ascii="宋体" w:hAnsi="宋体"/>
                <w:sz w:val="18"/>
                <w:szCs w:val="18"/>
              </w:rPr>
              <w:t>19</w:t>
            </w:r>
          </w:p>
        </w:tc>
        <w:tc>
          <w:tcPr>
            <w:tcW w:w="1559" w:type="dxa"/>
            <w:vAlign w:val="center"/>
          </w:tcPr>
          <w:p w14:paraId="75F884B1">
            <w:pPr>
              <w:jc w:val="center"/>
              <w:rPr>
                <w:rFonts w:ascii="宋体" w:hAnsi="宋体"/>
                <w:sz w:val="18"/>
                <w:szCs w:val="18"/>
              </w:rPr>
            </w:pPr>
            <w:r>
              <w:rPr>
                <w:rFonts w:ascii="宋体" w:hAnsi="宋体"/>
                <w:sz w:val="18"/>
                <w:szCs w:val="18"/>
              </w:rPr>
              <w:t>23</w:t>
            </w:r>
          </w:p>
        </w:tc>
        <w:tc>
          <w:tcPr>
            <w:tcW w:w="1559" w:type="dxa"/>
          </w:tcPr>
          <w:p w14:paraId="1493C218">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1E1D9700">
            <w:pPr>
              <w:jc w:val="center"/>
              <w:rPr>
                <w:rFonts w:ascii="宋体" w:hAnsi="宋体"/>
                <w:sz w:val="18"/>
                <w:szCs w:val="18"/>
              </w:rPr>
            </w:pPr>
          </w:p>
        </w:tc>
      </w:tr>
      <w:tr w14:paraId="17A1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25E1D963">
            <w:pPr>
              <w:jc w:val="center"/>
              <w:rPr>
                <w:rFonts w:ascii="宋体" w:hAnsi="宋体"/>
                <w:sz w:val="18"/>
                <w:szCs w:val="18"/>
              </w:rPr>
            </w:pPr>
            <w:r>
              <w:rPr>
                <w:rFonts w:ascii="宋体" w:hAnsi="宋体"/>
                <w:sz w:val="18"/>
                <w:szCs w:val="18"/>
              </w:rPr>
              <w:t>3451～4350</w:t>
            </w:r>
          </w:p>
        </w:tc>
        <w:tc>
          <w:tcPr>
            <w:tcW w:w="1560" w:type="dxa"/>
            <w:vAlign w:val="center"/>
          </w:tcPr>
          <w:p w14:paraId="3FA6465A">
            <w:pPr>
              <w:jc w:val="center"/>
              <w:rPr>
                <w:rFonts w:ascii="宋体" w:hAnsi="宋体"/>
                <w:sz w:val="18"/>
                <w:szCs w:val="18"/>
              </w:rPr>
            </w:pPr>
            <w:r>
              <w:rPr>
                <w:rFonts w:ascii="宋体" w:hAnsi="宋体"/>
                <w:sz w:val="18"/>
                <w:szCs w:val="18"/>
              </w:rPr>
              <w:t>18</w:t>
            </w:r>
          </w:p>
        </w:tc>
        <w:tc>
          <w:tcPr>
            <w:tcW w:w="1559" w:type="dxa"/>
            <w:vAlign w:val="center"/>
          </w:tcPr>
          <w:p w14:paraId="4BC65B5D">
            <w:pPr>
              <w:jc w:val="center"/>
              <w:rPr>
                <w:rFonts w:ascii="宋体" w:hAnsi="宋体"/>
                <w:sz w:val="18"/>
                <w:szCs w:val="18"/>
              </w:rPr>
            </w:pPr>
            <w:r>
              <w:rPr>
                <w:rFonts w:ascii="宋体" w:hAnsi="宋体"/>
                <w:sz w:val="18"/>
                <w:szCs w:val="18"/>
              </w:rPr>
              <w:t>20</w:t>
            </w:r>
          </w:p>
        </w:tc>
        <w:tc>
          <w:tcPr>
            <w:tcW w:w="1559" w:type="dxa"/>
            <w:vAlign w:val="center"/>
          </w:tcPr>
          <w:p w14:paraId="5FBEA481">
            <w:pPr>
              <w:jc w:val="center"/>
              <w:rPr>
                <w:rFonts w:ascii="宋体" w:hAnsi="宋体"/>
                <w:sz w:val="18"/>
                <w:szCs w:val="18"/>
              </w:rPr>
            </w:pPr>
            <w:r>
              <w:rPr>
                <w:rFonts w:ascii="宋体" w:hAnsi="宋体"/>
                <w:sz w:val="18"/>
                <w:szCs w:val="18"/>
              </w:rPr>
              <w:t>24</w:t>
            </w:r>
          </w:p>
        </w:tc>
        <w:tc>
          <w:tcPr>
            <w:tcW w:w="1559" w:type="dxa"/>
          </w:tcPr>
          <w:p w14:paraId="2CA1A94F">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04896FA5">
            <w:pPr>
              <w:jc w:val="center"/>
              <w:rPr>
                <w:rFonts w:ascii="宋体" w:hAnsi="宋体"/>
                <w:sz w:val="18"/>
                <w:szCs w:val="18"/>
              </w:rPr>
            </w:pPr>
          </w:p>
        </w:tc>
      </w:tr>
      <w:tr w14:paraId="2F2E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tcBorders>
              <w:top w:val="nil"/>
            </w:tcBorders>
            <w:vAlign w:val="center"/>
          </w:tcPr>
          <w:p w14:paraId="7969707D">
            <w:pPr>
              <w:jc w:val="center"/>
              <w:rPr>
                <w:rFonts w:ascii="宋体" w:hAnsi="宋体"/>
                <w:sz w:val="18"/>
                <w:szCs w:val="18"/>
              </w:rPr>
            </w:pPr>
            <w:r>
              <w:br w:type="page"/>
            </w:r>
            <w:r>
              <w:rPr>
                <w:rFonts w:ascii="宋体" w:hAnsi="宋体"/>
                <w:sz w:val="18"/>
                <w:szCs w:val="18"/>
              </w:rPr>
              <w:t>4351～5450</w:t>
            </w:r>
          </w:p>
        </w:tc>
        <w:tc>
          <w:tcPr>
            <w:tcW w:w="1560" w:type="dxa"/>
            <w:tcBorders>
              <w:top w:val="nil"/>
            </w:tcBorders>
            <w:vAlign w:val="center"/>
          </w:tcPr>
          <w:p w14:paraId="347FD129">
            <w:pPr>
              <w:jc w:val="center"/>
              <w:rPr>
                <w:rFonts w:ascii="宋体" w:hAnsi="宋体"/>
                <w:sz w:val="18"/>
                <w:szCs w:val="18"/>
              </w:rPr>
            </w:pPr>
            <w:r>
              <w:rPr>
                <w:rFonts w:ascii="宋体" w:hAnsi="宋体"/>
                <w:sz w:val="18"/>
                <w:szCs w:val="18"/>
              </w:rPr>
              <w:t>19</w:t>
            </w:r>
          </w:p>
        </w:tc>
        <w:tc>
          <w:tcPr>
            <w:tcW w:w="1559" w:type="dxa"/>
            <w:tcBorders>
              <w:top w:val="nil"/>
            </w:tcBorders>
            <w:vAlign w:val="center"/>
          </w:tcPr>
          <w:p w14:paraId="68A5FAA0">
            <w:pPr>
              <w:jc w:val="center"/>
              <w:rPr>
                <w:rFonts w:ascii="宋体" w:hAnsi="宋体"/>
                <w:sz w:val="18"/>
                <w:szCs w:val="18"/>
              </w:rPr>
            </w:pPr>
            <w:r>
              <w:rPr>
                <w:rFonts w:ascii="宋体" w:hAnsi="宋体"/>
                <w:sz w:val="18"/>
                <w:szCs w:val="18"/>
              </w:rPr>
              <w:t>21</w:t>
            </w:r>
          </w:p>
        </w:tc>
        <w:tc>
          <w:tcPr>
            <w:tcW w:w="1559" w:type="dxa"/>
            <w:tcBorders>
              <w:top w:val="nil"/>
            </w:tcBorders>
            <w:vAlign w:val="center"/>
          </w:tcPr>
          <w:p w14:paraId="1C0B2477">
            <w:pPr>
              <w:jc w:val="center"/>
              <w:rPr>
                <w:rFonts w:ascii="宋体" w:hAnsi="宋体"/>
                <w:sz w:val="18"/>
                <w:szCs w:val="18"/>
              </w:rPr>
            </w:pPr>
            <w:r>
              <w:rPr>
                <w:rFonts w:ascii="宋体" w:hAnsi="宋体"/>
                <w:sz w:val="18"/>
                <w:szCs w:val="18"/>
              </w:rPr>
              <w:t>25</w:t>
            </w:r>
          </w:p>
        </w:tc>
        <w:tc>
          <w:tcPr>
            <w:tcW w:w="1559" w:type="dxa"/>
            <w:tcBorders>
              <w:top w:val="nil"/>
            </w:tcBorders>
          </w:tcPr>
          <w:p w14:paraId="5DDAA794">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tcBorders>
              <w:top w:val="nil"/>
            </w:tcBorders>
            <w:vAlign w:val="center"/>
          </w:tcPr>
          <w:p w14:paraId="61BF6898">
            <w:pPr>
              <w:jc w:val="center"/>
              <w:rPr>
                <w:rFonts w:ascii="宋体" w:hAnsi="宋体"/>
                <w:sz w:val="18"/>
                <w:szCs w:val="18"/>
              </w:rPr>
            </w:pPr>
          </w:p>
        </w:tc>
      </w:tr>
      <w:tr w14:paraId="2C15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2D20B1B6">
            <w:pPr>
              <w:jc w:val="center"/>
              <w:rPr>
                <w:rFonts w:ascii="宋体" w:hAnsi="宋体"/>
                <w:sz w:val="18"/>
                <w:szCs w:val="18"/>
              </w:rPr>
            </w:pPr>
            <w:r>
              <w:rPr>
                <w:rFonts w:ascii="宋体" w:hAnsi="宋体"/>
                <w:sz w:val="18"/>
                <w:szCs w:val="18"/>
              </w:rPr>
              <w:t>5451～6800</w:t>
            </w:r>
          </w:p>
        </w:tc>
        <w:tc>
          <w:tcPr>
            <w:tcW w:w="1560" w:type="dxa"/>
            <w:vAlign w:val="center"/>
          </w:tcPr>
          <w:p w14:paraId="4E5289A4">
            <w:pPr>
              <w:jc w:val="center"/>
              <w:rPr>
                <w:rFonts w:ascii="宋体" w:hAnsi="宋体"/>
                <w:sz w:val="18"/>
                <w:szCs w:val="18"/>
              </w:rPr>
            </w:pPr>
            <w:r>
              <w:rPr>
                <w:rFonts w:ascii="宋体" w:hAnsi="宋体"/>
                <w:sz w:val="18"/>
                <w:szCs w:val="18"/>
              </w:rPr>
              <w:t>20</w:t>
            </w:r>
          </w:p>
        </w:tc>
        <w:tc>
          <w:tcPr>
            <w:tcW w:w="1559" w:type="dxa"/>
            <w:vAlign w:val="center"/>
          </w:tcPr>
          <w:p w14:paraId="65F9357C">
            <w:pPr>
              <w:jc w:val="center"/>
              <w:rPr>
                <w:rFonts w:ascii="宋体" w:hAnsi="宋体"/>
                <w:sz w:val="18"/>
                <w:szCs w:val="18"/>
              </w:rPr>
            </w:pPr>
            <w:r>
              <w:rPr>
                <w:rFonts w:ascii="宋体" w:hAnsi="宋体"/>
                <w:sz w:val="18"/>
                <w:szCs w:val="18"/>
              </w:rPr>
              <w:t>23</w:t>
            </w:r>
          </w:p>
        </w:tc>
        <w:tc>
          <w:tcPr>
            <w:tcW w:w="1559" w:type="dxa"/>
            <w:vAlign w:val="center"/>
          </w:tcPr>
          <w:p w14:paraId="079C3442">
            <w:pPr>
              <w:jc w:val="center"/>
              <w:rPr>
                <w:rFonts w:ascii="宋体" w:hAnsi="宋体"/>
                <w:sz w:val="18"/>
                <w:szCs w:val="18"/>
              </w:rPr>
            </w:pPr>
            <w:r>
              <w:rPr>
                <w:rFonts w:ascii="宋体" w:hAnsi="宋体"/>
                <w:sz w:val="18"/>
                <w:szCs w:val="18"/>
              </w:rPr>
              <w:t>26</w:t>
            </w:r>
          </w:p>
        </w:tc>
        <w:tc>
          <w:tcPr>
            <w:tcW w:w="1559" w:type="dxa"/>
          </w:tcPr>
          <w:p w14:paraId="207CE766">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6B87436A">
            <w:pPr>
              <w:jc w:val="center"/>
              <w:rPr>
                <w:rFonts w:ascii="宋体" w:hAnsi="宋体"/>
                <w:sz w:val="18"/>
                <w:szCs w:val="18"/>
              </w:rPr>
            </w:pPr>
          </w:p>
        </w:tc>
      </w:tr>
      <w:tr w14:paraId="00F2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7BE2F824">
            <w:pPr>
              <w:jc w:val="center"/>
              <w:rPr>
                <w:rFonts w:ascii="宋体" w:hAnsi="宋体"/>
                <w:sz w:val="18"/>
                <w:szCs w:val="18"/>
              </w:rPr>
            </w:pPr>
            <w:r>
              <w:rPr>
                <w:rFonts w:ascii="宋体" w:hAnsi="宋体"/>
                <w:sz w:val="18"/>
                <w:szCs w:val="18"/>
              </w:rPr>
              <w:t>6801～8500</w:t>
            </w:r>
          </w:p>
        </w:tc>
        <w:tc>
          <w:tcPr>
            <w:tcW w:w="1560" w:type="dxa"/>
            <w:vAlign w:val="center"/>
          </w:tcPr>
          <w:p w14:paraId="6151EEE3">
            <w:pPr>
              <w:jc w:val="center"/>
              <w:rPr>
                <w:rFonts w:ascii="宋体" w:hAnsi="宋体"/>
                <w:sz w:val="18"/>
                <w:szCs w:val="18"/>
              </w:rPr>
            </w:pPr>
            <w:r>
              <w:rPr>
                <w:rFonts w:ascii="宋体" w:hAnsi="宋体"/>
                <w:sz w:val="18"/>
                <w:szCs w:val="18"/>
              </w:rPr>
              <w:t>21</w:t>
            </w:r>
          </w:p>
        </w:tc>
        <w:tc>
          <w:tcPr>
            <w:tcW w:w="1559" w:type="dxa"/>
            <w:vAlign w:val="center"/>
          </w:tcPr>
          <w:p w14:paraId="2C66D911">
            <w:pPr>
              <w:jc w:val="center"/>
              <w:rPr>
                <w:rFonts w:ascii="宋体" w:hAnsi="宋体"/>
                <w:sz w:val="18"/>
                <w:szCs w:val="18"/>
              </w:rPr>
            </w:pPr>
            <w:r>
              <w:rPr>
                <w:rFonts w:ascii="宋体" w:hAnsi="宋体"/>
                <w:sz w:val="18"/>
                <w:szCs w:val="18"/>
              </w:rPr>
              <w:t>25</w:t>
            </w:r>
          </w:p>
        </w:tc>
        <w:tc>
          <w:tcPr>
            <w:tcW w:w="1559" w:type="dxa"/>
            <w:vAlign w:val="center"/>
          </w:tcPr>
          <w:p w14:paraId="64989265">
            <w:pPr>
              <w:jc w:val="center"/>
              <w:rPr>
                <w:rFonts w:ascii="宋体" w:hAnsi="宋体"/>
                <w:sz w:val="18"/>
                <w:szCs w:val="18"/>
              </w:rPr>
            </w:pPr>
            <w:r>
              <w:rPr>
                <w:rFonts w:ascii="宋体" w:hAnsi="宋体"/>
                <w:sz w:val="18"/>
                <w:szCs w:val="18"/>
              </w:rPr>
              <w:t>27</w:t>
            </w:r>
          </w:p>
        </w:tc>
        <w:tc>
          <w:tcPr>
            <w:tcW w:w="1559" w:type="dxa"/>
          </w:tcPr>
          <w:p w14:paraId="74E3902C">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108D1301">
            <w:pPr>
              <w:jc w:val="center"/>
              <w:rPr>
                <w:rFonts w:ascii="宋体" w:hAnsi="宋体"/>
                <w:sz w:val="18"/>
                <w:szCs w:val="18"/>
              </w:rPr>
            </w:pPr>
          </w:p>
        </w:tc>
      </w:tr>
      <w:tr w14:paraId="6E59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293CE375">
            <w:pPr>
              <w:jc w:val="center"/>
              <w:rPr>
                <w:rFonts w:ascii="宋体" w:hAnsi="宋体"/>
                <w:sz w:val="18"/>
                <w:szCs w:val="18"/>
              </w:rPr>
            </w:pPr>
            <w:r>
              <w:rPr>
                <w:rFonts w:ascii="宋体" w:hAnsi="宋体"/>
                <w:sz w:val="18"/>
                <w:szCs w:val="18"/>
              </w:rPr>
              <w:t>8501～10700</w:t>
            </w:r>
          </w:p>
        </w:tc>
        <w:tc>
          <w:tcPr>
            <w:tcW w:w="1560" w:type="dxa"/>
            <w:vAlign w:val="center"/>
          </w:tcPr>
          <w:p w14:paraId="6013D6A4">
            <w:pPr>
              <w:jc w:val="center"/>
              <w:rPr>
                <w:rFonts w:ascii="宋体" w:hAnsi="宋体"/>
                <w:sz w:val="18"/>
                <w:szCs w:val="18"/>
              </w:rPr>
            </w:pPr>
            <w:r>
              <w:rPr>
                <w:rFonts w:ascii="宋体" w:hAnsi="宋体"/>
                <w:sz w:val="18"/>
                <w:szCs w:val="18"/>
              </w:rPr>
              <w:t>22</w:t>
            </w:r>
          </w:p>
        </w:tc>
        <w:tc>
          <w:tcPr>
            <w:tcW w:w="1559" w:type="dxa"/>
            <w:vAlign w:val="center"/>
          </w:tcPr>
          <w:p w14:paraId="60F48EEA">
            <w:pPr>
              <w:jc w:val="center"/>
              <w:rPr>
                <w:rFonts w:ascii="宋体" w:hAnsi="宋体"/>
                <w:sz w:val="18"/>
                <w:szCs w:val="18"/>
              </w:rPr>
            </w:pPr>
            <w:r>
              <w:rPr>
                <w:rFonts w:ascii="宋体" w:hAnsi="宋体"/>
                <w:sz w:val="18"/>
                <w:szCs w:val="18"/>
              </w:rPr>
              <w:t>27</w:t>
            </w:r>
          </w:p>
        </w:tc>
        <w:tc>
          <w:tcPr>
            <w:tcW w:w="1559" w:type="dxa"/>
            <w:vAlign w:val="center"/>
          </w:tcPr>
          <w:p w14:paraId="6743F3A9">
            <w:pPr>
              <w:jc w:val="center"/>
              <w:rPr>
                <w:rFonts w:ascii="宋体" w:hAnsi="宋体"/>
                <w:sz w:val="18"/>
                <w:szCs w:val="18"/>
              </w:rPr>
            </w:pPr>
            <w:r>
              <w:rPr>
                <w:rFonts w:ascii="宋体" w:hAnsi="宋体"/>
                <w:sz w:val="18"/>
                <w:szCs w:val="18"/>
              </w:rPr>
              <w:t>28</w:t>
            </w:r>
          </w:p>
        </w:tc>
        <w:tc>
          <w:tcPr>
            <w:tcW w:w="1559" w:type="dxa"/>
          </w:tcPr>
          <w:p w14:paraId="0C4E79BB">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4B9678FB">
            <w:pPr>
              <w:jc w:val="center"/>
              <w:rPr>
                <w:rFonts w:ascii="宋体" w:hAnsi="宋体"/>
                <w:sz w:val="18"/>
                <w:szCs w:val="18"/>
              </w:rPr>
            </w:pPr>
          </w:p>
        </w:tc>
      </w:tr>
      <w:tr w14:paraId="7AAF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129" w:type="dxa"/>
            <w:vAlign w:val="center"/>
          </w:tcPr>
          <w:p w14:paraId="252FF0ED">
            <w:pPr>
              <w:jc w:val="center"/>
              <w:rPr>
                <w:rFonts w:ascii="宋体" w:hAnsi="宋体"/>
                <w:sz w:val="18"/>
                <w:szCs w:val="18"/>
              </w:rPr>
            </w:pPr>
            <w:r>
              <w:rPr>
                <w:rFonts w:ascii="宋体" w:hAnsi="宋体"/>
                <w:sz w:val="18"/>
                <w:szCs w:val="18"/>
              </w:rPr>
              <w:t>＞ 10700</w:t>
            </w:r>
          </w:p>
        </w:tc>
        <w:tc>
          <w:tcPr>
            <w:tcW w:w="1560" w:type="dxa"/>
            <w:vAlign w:val="center"/>
          </w:tcPr>
          <w:p w14:paraId="0772F69A">
            <w:pPr>
              <w:jc w:val="center"/>
              <w:rPr>
                <w:rFonts w:ascii="宋体" w:hAnsi="宋体"/>
                <w:sz w:val="18"/>
                <w:szCs w:val="18"/>
              </w:rPr>
            </w:pPr>
            <w:r>
              <w:rPr>
                <w:rFonts w:ascii="宋体" w:hAnsi="宋体"/>
                <w:sz w:val="18"/>
                <w:szCs w:val="18"/>
              </w:rPr>
              <w:t>沿用以上规律</w:t>
            </w:r>
          </w:p>
        </w:tc>
        <w:tc>
          <w:tcPr>
            <w:tcW w:w="1559" w:type="dxa"/>
            <w:vAlign w:val="center"/>
          </w:tcPr>
          <w:p w14:paraId="046089BE">
            <w:pPr>
              <w:jc w:val="center"/>
              <w:rPr>
                <w:rFonts w:ascii="宋体" w:hAnsi="宋体"/>
                <w:sz w:val="18"/>
                <w:szCs w:val="18"/>
              </w:rPr>
            </w:pPr>
            <w:r>
              <w:rPr>
                <w:rFonts w:hint="eastAsia" w:ascii="宋体" w:hAnsi="宋体"/>
                <w:sz w:val="18"/>
                <w:szCs w:val="18"/>
              </w:rPr>
              <w:t>沿用以上规律</w:t>
            </w:r>
          </w:p>
        </w:tc>
        <w:tc>
          <w:tcPr>
            <w:tcW w:w="1559" w:type="dxa"/>
            <w:vAlign w:val="center"/>
          </w:tcPr>
          <w:p w14:paraId="6E8CADEC">
            <w:pPr>
              <w:jc w:val="center"/>
              <w:rPr>
                <w:rFonts w:ascii="宋体" w:hAnsi="宋体"/>
                <w:sz w:val="18"/>
                <w:szCs w:val="18"/>
              </w:rPr>
            </w:pPr>
            <w:r>
              <w:rPr>
                <w:rFonts w:ascii="宋体" w:hAnsi="宋体"/>
                <w:sz w:val="18"/>
                <w:szCs w:val="18"/>
              </w:rPr>
              <w:t>沿用以上规律</w:t>
            </w:r>
          </w:p>
        </w:tc>
        <w:tc>
          <w:tcPr>
            <w:tcW w:w="1559" w:type="dxa"/>
          </w:tcPr>
          <w:p w14:paraId="506469F0">
            <w:pPr>
              <w:jc w:val="center"/>
              <w:rPr>
                <w:rFonts w:ascii="宋体" w:hAnsi="宋体"/>
                <w:sz w:val="18"/>
                <w:szCs w:val="18"/>
              </w:rPr>
            </w:pPr>
            <w:r>
              <w:rPr>
                <w:rFonts w:ascii="宋体" w:hAnsi="宋体"/>
                <w:sz w:val="18"/>
                <w:szCs w:val="18"/>
              </w:rPr>
              <w:t>见C</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5</w:t>
            </w:r>
          </w:p>
        </w:tc>
        <w:tc>
          <w:tcPr>
            <w:tcW w:w="1059" w:type="dxa"/>
            <w:vAlign w:val="center"/>
          </w:tcPr>
          <w:p w14:paraId="70A437D9">
            <w:pPr>
              <w:jc w:val="center"/>
              <w:rPr>
                <w:rFonts w:ascii="宋体" w:hAnsi="宋体"/>
                <w:sz w:val="18"/>
                <w:szCs w:val="18"/>
              </w:rPr>
            </w:pPr>
          </w:p>
        </w:tc>
      </w:tr>
    </w:tbl>
    <w:p w14:paraId="05B4BAB6">
      <w:pPr>
        <w:pStyle w:val="70"/>
        <w:numPr>
          <w:ilvl w:val="0"/>
          <w:numId w:val="0"/>
        </w:numPr>
        <w:spacing w:before="156" w:after="156"/>
        <w:rPr>
          <w:rFonts w:hAnsi="黑体"/>
          <w:lang w:val="de-DE"/>
        </w:rPr>
      </w:pPr>
      <w:r>
        <w:rPr>
          <w:rFonts w:hint="eastAsia" w:hAnsi="黑体"/>
          <w:lang w:val="de-DE"/>
        </w:rPr>
        <w:t>C.3.5　</w:t>
      </w:r>
      <w:r>
        <w:rPr>
          <w:rFonts w:hint="eastAsia" w:hAnsi="黑体"/>
        </w:rPr>
        <w:t>审核</w:t>
      </w:r>
      <w:r>
        <w:rPr>
          <w:rFonts w:hint="eastAsia" w:hAnsi="黑体"/>
          <w:lang w:val="de-DE"/>
        </w:rPr>
        <w:t>时间</w:t>
      </w:r>
      <w:r>
        <w:rPr>
          <w:rFonts w:hint="eastAsia" w:hAnsi="黑体"/>
          <w:lang w:val="en-US" w:eastAsia="zh-CN"/>
        </w:rPr>
        <w:t>调整</w:t>
      </w:r>
      <w:r>
        <w:rPr>
          <w:rFonts w:hint="eastAsia" w:hAnsi="黑体"/>
          <w:lang w:val="de-DE"/>
        </w:rPr>
        <w:t>因素</w:t>
      </w:r>
    </w:p>
    <w:p w14:paraId="2B633188">
      <w:pPr>
        <w:ind w:firstLine="420" w:firstLineChars="200"/>
        <w:rPr>
          <w:rFonts w:ascii="宋体" w:hAnsi="宋体"/>
          <w:kern w:val="0"/>
          <w:szCs w:val="21"/>
          <w:lang w:val="de-DE"/>
        </w:rPr>
      </w:pPr>
      <w:r>
        <w:rPr>
          <w:rFonts w:hint="eastAsia" w:ascii="宋体" w:hAnsi="宋体"/>
          <w:szCs w:val="21"/>
        </w:rPr>
        <w:t>不</w:t>
      </w:r>
      <w:r>
        <w:rPr>
          <w:rFonts w:hint="eastAsia" w:ascii="宋体" w:hAnsi="宋体"/>
          <w:szCs w:val="21"/>
          <w:lang w:val="en-US" w:eastAsia="zh-CN"/>
        </w:rPr>
        <w:t>应</w:t>
      </w:r>
      <w:r>
        <w:rPr>
          <w:rFonts w:hint="eastAsia" w:ascii="宋体" w:hAnsi="宋体"/>
          <w:szCs w:val="21"/>
        </w:rPr>
        <w:t>孤立地使用表C.1。</w:t>
      </w:r>
      <w:r>
        <w:rPr>
          <w:rFonts w:hint="eastAsia" w:ascii="宋体" w:hAnsi="宋体"/>
          <w:kern w:val="0"/>
          <w:szCs w:val="21"/>
          <w:lang w:val="de-DE"/>
        </w:rPr>
        <w:t>所安排的时间还应考虑以下与ISMS复杂程度</w:t>
      </w:r>
      <w:r>
        <w:rPr>
          <w:rFonts w:hint="eastAsia" w:ascii="宋体" w:hAnsi="宋体"/>
          <w:kern w:val="0"/>
          <w:szCs w:val="21"/>
          <w:lang w:val="en-US" w:eastAsia="zh-CN"/>
        </w:rPr>
        <w:t>和</w:t>
      </w:r>
      <w:r>
        <w:rPr>
          <w:rFonts w:hint="eastAsia" w:ascii="宋体" w:hAnsi="宋体"/>
          <w:kern w:val="0"/>
          <w:szCs w:val="21"/>
          <w:lang w:val="de-DE"/>
        </w:rPr>
        <w:t>ISMS审核工作量相关</w:t>
      </w:r>
      <w:r>
        <w:rPr>
          <w:rFonts w:hint="eastAsia" w:ascii="宋体" w:hAnsi="宋体"/>
          <w:kern w:val="0"/>
          <w:szCs w:val="21"/>
          <w:lang w:val="de-DE" w:eastAsia="zh-CN"/>
        </w:rPr>
        <w:t>的</w:t>
      </w:r>
      <w:r>
        <w:rPr>
          <w:rFonts w:hint="eastAsia" w:ascii="宋体" w:hAnsi="宋体"/>
          <w:kern w:val="0"/>
          <w:szCs w:val="21"/>
          <w:lang w:val="de-DE"/>
        </w:rPr>
        <w:t>因素：</w:t>
      </w:r>
    </w:p>
    <w:p w14:paraId="47AA3273">
      <w:pPr>
        <w:widowControl/>
        <w:numPr>
          <w:ilvl w:val="0"/>
          <w:numId w:val="45"/>
        </w:numPr>
        <w:rPr>
          <w:rFonts w:ascii="宋体" w:hAnsi="宋体"/>
          <w:kern w:val="0"/>
          <w:szCs w:val="21"/>
        </w:rPr>
      </w:pPr>
      <w:r>
        <w:rPr>
          <w:rFonts w:hint="eastAsia" w:ascii="宋体" w:hAnsi="宋体"/>
          <w:kern w:val="0"/>
          <w:szCs w:val="21"/>
          <w:lang w:val="de-DE"/>
        </w:rPr>
        <w:t>ISMS的复杂程度（例如，信息的关键程度、ISMS</w:t>
      </w:r>
      <w:r>
        <w:rPr>
          <w:rFonts w:hint="eastAsia" w:ascii="宋体" w:hAnsi="宋体"/>
          <w:kern w:val="0"/>
          <w:szCs w:val="21"/>
        </w:rPr>
        <w:t>的风险状况）；</w:t>
      </w:r>
    </w:p>
    <w:p w14:paraId="63A6CE28">
      <w:pPr>
        <w:widowControl/>
        <w:numPr>
          <w:ilvl w:val="0"/>
          <w:numId w:val="45"/>
        </w:numPr>
        <w:rPr>
          <w:rFonts w:ascii="宋体" w:hAnsi="宋体"/>
          <w:kern w:val="0"/>
          <w:szCs w:val="21"/>
        </w:rPr>
      </w:pPr>
      <w:r>
        <w:rPr>
          <w:rFonts w:hint="eastAsia" w:ascii="宋体" w:hAnsi="宋体"/>
          <w:kern w:val="0"/>
          <w:szCs w:val="21"/>
          <w:lang w:val="de-DE"/>
        </w:rPr>
        <w:t>ISMS范围内所开展</w:t>
      </w:r>
      <w:r>
        <w:rPr>
          <w:rFonts w:hint="eastAsia" w:ascii="宋体" w:hAnsi="宋体"/>
          <w:kern w:val="0"/>
          <w:szCs w:val="21"/>
        </w:rPr>
        <w:t>业务的类型；</w:t>
      </w:r>
    </w:p>
    <w:p w14:paraId="508BDE04">
      <w:pPr>
        <w:widowControl/>
        <w:numPr>
          <w:ilvl w:val="0"/>
          <w:numId w:val="45"/>
        </w:numPr>
        <w:rPr>
          <w:rFonts w:ascii="宋体" w:hAnsi="宋体"/>
          <w:kern w:val="0"/>
          <w:szCs w:val="21"/>
        </w:rPr>
      </w:pPr>
      <w:r>
        <w:rPr>
          <w:rFonts w:hint="eastAsia" w:ascii="宋体" w:hAnsi="宋体"/>
          <w:kern w:val="0"/>
          <w:szCs w:val="21"/>
        </w:rPr>
        <w:t>以</w:t>
      </w:r>
      <w:r>
        <w:rPr>
          <w:rFonts w:hint="eastAsia" w:ascii="宋体" w:hAnsi="宋体"/>
          <w:kern w:val="0"/>
          <w:szCs w:val="21"/>
          <w:lang w:val="de-DE"/>
        </w:rPr>
        <w:t>往</w:t>
      </w:r>
      <w:r>
        <w:rPr>
          <w:rFonts w:hint="eastAsia" w:ascii="宋体" w:hAnsi="宋体"/>
          <w:kern w:val="0"/>
          <w:szCs w:val="21"/>
        </w:rPr>
        <w:t>已证实的</w:t>
      </w:r>
      <w:r>
        <w:rPr>
          <w:rFonts w:hint="eastAsia" w:ascii="宋体" w:hAnsi="宋体"/>
          <w:kern w:val="0"/>
          <w:szCs w:val="21"/>
          <w:lang w:val="de-DE"/>
        </w:rPr>
        <w:t>ISMS绩效</w:t>
      </w:r>
      <w:r>
        <w:rPr>
          <w:rFonts w:hint="eastAsia" w:ascii="宋体" w:hAnsi="宋体"/>
          <w:kern w:val="0"/>
          <w:szCs w:val="21"/>
        </w:rPr>
        <w:t>；</w:t>
      </w:r>
    </w:p>
    <w:p w14:paraId="79087701">
      <w:pPr>
        <w:widowControl/>
        <w:numPr>
          <w:ilvl w:val="0"/>
          <w:numId w:val="45"/>
        </w:numPr>
        <w:rPr>
          <w:rFonts w:ascii="宋体" w:hAnsi="宋体"/>
          <w:kern w:val="0"/>
          <w:szCs w:val="21"/>
        </w:rPr>
      </w:pPr>
      <w:r>
        <w:rPr>
          <w:rFonts w:hint="eastAsia" w:ascii="宋体" w:hAnsi="宋体"/>
          <w:kern w:val="0"/>
          <w:szCs w:val="21"/>
          <w:lang w:val="de-DE"/>
        </w:rPr>
        <w:t>在ISMS各部分的实施过程中，所应</w:t>
      </w:r>
      <w:r>
        <w:rPr>
          <w:rFonts w:hint="eastAsia" w:ascii="宋体" w:hAnsi="宋体"/>
          <w:kern w:val="0"/>
          <w:szCs w:val="21"/>
        </w:rPr>
        <w:t>用的技术的水平和多样性</w:t>
      </w:r>
      <w:r>
        <w:rPr>
          <w:rFonts w:hint="eastAsia" w:ascii="宋体" w:hAnsi="宋体"/>
          <w:kern w:val="0"/>
          <w:szCs w:val="21"/>
          <w:lang w:eastAsia="zh-CN"/>
        </w:rPr>
        <w:t>（</w:t>
      </w:r>
      <w:r>
        <w:rPr>
          <w:rFonts w:hint="eastAsia" w:ascii="宋体" w:hAnsi="宋体"/>
          <w:kern w:val="0"/>
          <w:szCs w:val="21"/>
        </w:rPr>
        <w:t>例如，不同IT平台的数量、隔离网络的数量</w:t>
      </w:r>
      <w:r>
        <w:rPr>
          <w:rFonts w:hint="eastAsia" w:ascii="宋体" w:hAnsi="宋体"/>
          <w:kern w:val="0"/>
          <w:szCs w:val="21"/>
          <w:lang w:eastAsia="zh-CN"/>
        </w:rPr>
        <w:t>）</w:t>
      </w:r>
      <w:r>
        <w:rPr>
          <w:rFonts w:hint="eastAsia" w:ascii="宋体" w:hAnsi="宋体"/>
          <w:kern w:val="0"/>
          <w:szCs w:val="21"/>
        </w:rPr>
        <w:t>；</w:t>
      </w:r>
    </w:p>
    <w:p w14:paraId="0E74A16B">
      <w:pPr>
        <w:widowControl/>
        <w:numPr>
          <w:ilvl w:val="0"/>
          <w:numId w:val="45"/>
        </w:numPr>
        <w:rPr>
          <w:rFonts w:ascii="宋体" w:hAnsi="宋体"/>
          <w:kern w:val="0"/>
          <w:szCs w:val="21"/>
        </w:rPr>
      </w:pPr>
      <w:r>
        <w:rPr>
          <w:rFonts w:hint="eastAsia" w:ascii="宋体" w:hAnsi="宋体"/>
          <w:kern w:val="0"/>
          <w:szCs w:val="21"/>
          <w:lang w:val="de-DE"/>
        </w:rPr>
        <w:t>ISMS范围内所使用的外包和第三</w:t>
      </w:r>
      <w:r>
        <w:rPr>
          <w:rFonts w:hint="eastAsia" w:ascii="宋体" w:hAnsi="宋体"/>
          <w:kern w:val="0"/>
          <w:szCs w:val="21"/>
        </w:rPr>
        <w:t>方安排的程度；</w:t>
      </w:r>
    </w:p>
    <w:p w14:paraId="4E6E8D15">
      <w:pPr>
        <w:widowControl/>
        <w:numPr>
          <w:ilvl w:val="0"/>
          <w:numId w:val="45"/>
        </w:numPr>
        <w:rPr>
          <w:rFonts w:ascii="宋体" w:hAnsi="宋体"/>
          <w:kern w:val="0"/>
          <w:szCs w:val="21"/>
        </w:rPr>
      </w:pPr>
      <w:r>
        <w:rPr>
          <w:rFonts w:hint="eastAsia" w:ascii="宋体" w:hAnsi="宋体"/>
          <w:kern w:val="0"/>
          <w:szCs w:val="21"/>
        </w:rPr>
        <w:t>信息系统开发程度；</w:t>
      </w:r>
    </w:p>
    <w:p w14:paraId="07805232">
      <w:pPr>
        <w:widowControl/>
        <w:numPr>
          <w:ilvl w:val="0"/>
          <w:numId w:val="45"/>
        </w:numPr>
        <w:rPr>
          <w:rFonts w:hint="eastAsia" w:ascii="宋体" w:hAnsi="宋体"/>
          <w:kern w:val="0"/>
          <w:szCs w:val="21"/>
        </w:rPr>
      </w:pPr>
      <w:r>
        <w:rPr>
          <w:rFonts w:hint="eastAsia" w:ascii="宋体" w:hAnsi="宋体"/>
          <w:kern w:val="0"/>
          <w:szCs w:val="21"/>
        </w:rPr>
        <w:t>场所数量和灾难恢复场所数量；</w:t>
      </w:r>
    </w:p>
    <w:p w14:paraId="30F886C0">
      <w:pPr>
        <w:widowControl/>
        <w:numPr>
          <w:ilvl w:val="0"/>
          <w:numId w:val="45"/>
        </w:numPr>
        <w:rPr>
          <w:rFonts w:ascii="宋体" w:hAnsi="宋体"/>
          <w:kern w:val="0"/>
          <w:szCs w:val="21"/>
        </w:rPr>
      </w:pPr>
      <w:r>
        <w:rPr>
          <w:rFonts w:hint="eastAsia" w:ascii="宋体" w:hAnsi="宋体"/>
          <w:kern w:val="0"/>
          <w:szCs w:val="21"/>
        </w:rPr>
        <w:t>第一阶段之后，认证机构</w:t>
      </w:r>
      <w:r>
        <w:rPr>
          <w:rFonts w:hint="eastAsia" w:ascii="宋体" w:hAnsi="宋体"/>
          <w:kern w:val="0"/>
          <w:szCs w:val="21"/>
          <w:lang w:val="en-US" w:eastAsia="zh-CN"/>
        </w:rPr>
        <w:t>将</w:t>
      </w:r>
      <w:r>
        <w:rPr>
          <w:rFonts w:hint="eastAsia" w:ascii="宋体" w:hAnsi="宋体"/>
          <w:kern w:val="0"/>
          <w:szCs w:val="21"/>
        </w:rPr>
        <w:t>考虑控制的数量和复杂性</w:t>
      </w:r>
      <w:r>
        <w:rPr>
          <w:rFonts w:hint="eastAsia" w:ascii="宋体" w:hAnsi="宋体"/>
          <w:kern w:val="0"/>
          <w:szCs w:val="21"/>
          <w:lang w:eastAsia="zh-CN"/>
        </w:rPr>
        <w:t>；</w:t>
      </w:r>
    </w:p>
    <w:p w14:paraId="5F3C1116">
      <w:pPr>
        <w:widowControl/>
        <w:numPr>
          <w:ilvl w:val="0"/>
          <w:numId w:val="45"/>
        </w:numPr>
        <w:rPr>
          <w:rFonts w:ascii="宋体" w:hAnsi="宋体"/>
          <w:kern w:val="0"/>
          <w:szCs w:val="21"/>
        </w:rPr>
      </w:pPr>
      <w:r>
        <w:rPr>
          <w:rFonts w:hint="eastAsia" w:ascii="宋体" w:hAnsi="宋体"/>
          <w:kern w:val="0"/>
          <w:szCs w:val="21"/>
        </w:rPr>
        <w:t>对于监督或再认证审核：GB/T 27021.1-201</w:t>
      </w:r>
      <w:r>
        <w:rPr>
          <w:rFonts w:ascii="宋体" w:hAnsi="宋体"/>
          <w:kern w:val="0"/>
          <w:szCs w:val="21"/>
        </w:rPr>
        <w:t>7</w:t>
      </w:r>
      <w:r>
        <w:rPr>
          <w:rFonts w:hint="eastAsia" w:ascii="宋体" w:hAnsi="宋体"/>
          <w:kern w:val="0"/>
          <w:szCs w:val="21"/>
        </w:rPr>
        <w:t xml:space="preserve"> 8.5.3中</w:t>
      </w:r>
      <w:r>
        <w:rPr>
          <w:rFonts w:hint="eastAsia" w:ascii="宋体" w:hAnsi="宋体"/>
          <w:kern w:val="0"/>
          <w:szCs w:val="21"/>
          <w:lang w:val="en-US" w:eastAsia="zh-CN"/>
        </w:rPr>
        <w:t>所述的</w:t>
      </w:r>
      <w:r>
        <w:rPr>
          <w:rFonts w:hint="eastAsia" w:ascii="宋体" w:hAnsi="宋体"/>
          <w:kern w:val="0"/>
          <w:szCs w:val="21"/>
        </w:rPr>
        <w:t>ISMS相关变更的数量和程度。</w:t>
      </w:r>
    </w:p>
    <w:p w14:paraId="1A0B1112">
      <w:pPr>
        <w:widowControl/>
        <w:ind w:firstLine="420" w:firstLineChars="200"/>
        <w:jc w:val="left"/>
        <w:outlineLvl w:val="3"/>
        <w:rPr>
          <w:rFonts w:ascii="宋体" w:hAnsi="宋体"/>
          <w:kern w:val="0"/>
          <w:szCs w:val="21"/>
          <w:lang w:val="de-DE"/>
        </w:rPr>
      </w:pPr>
      <w:r>
        <w:rPr>
          <w:rFonts w:hint="eastAsia" w:ascii="宋体" w:hAnsi="宋体"/>
          <w:kern w:val="0"/>
          <w:szCs w:val="21"/>
          <w:lang w:val="de-DE"/>
        </w:rPr>
        <w:t>附录D提供了在计算审核时间时如何考虑这些不同因素的示例。</w:t>
      </w:r>
    </w:p>
    <w:p w14:paraId="3FDA212F">
      <w:pPr>
        <w:widowControl/>
        <w:ind w:firstLine="420" w:firstLineChars="200"/>
        <w:jc w:val="left"/>
        <w:outlineLvl w:val="3"/>
        <w:rPr>
          <w:rFonts w:ascii="宋体" w:hAnsi="宋体"/>
          <w:kern w:val="0"/>
          <w:szCs w:val="21"/>
          <w:lang w:val="de-DE"/>
        </w:rPr>
      </w:pPr>
      <w:r>
        <w:rPr>
          <w:rFonts w:hint="eastAsia" w:ascii="宋体" w:hAnsi="宋体"/>
          <w:kern w:val="0"/>
          <w:szCs w:val="21"/>
          <w:lang w:val="de-DE"/>
        </w:rPr>
        <w:t>需要增加审核时间的因素，例如：</w:t>
      </w:r>
    </w:p>
    <w:p w14:paraId="32527959">
      <w:pPr>
        <w:numPr>
          <w:ilvl w:val="1"/>
          <w:numId w:val="23"/>
        </w:numPr>
        <w:ind w:left="782" w:hanging="357"/>
        <w:rPr>
          <w:rFonts w:ascii="宋体" w:hAnsi="宋体"/>
          <w:szCs w:val="21"/>
        </w:rPr>
      </w:pPr>
      <w:r>
        <w:rPr>
          <w:rFonts w:hint="eastAsia" w:ascii="宋体" w:hAnsi="宋体"/>
          <w:szCs w:val="21"/>
          <w:highlight w:val="none"/>
        </w:rPr>
        <w:t>复杂的</w:t>
      </w:r>
      <w:r>
        <w:rPr>
          <w:rFonts w:hint="eastAsia" w:ascii="宋体" w:hAnsi="宋体"/>
          <w:szCs w:val="21"/>
          <w:highlight w:val="none"/>
          <w:lang w:val="en-US" w:eastAsia="zh-CN"/>
        </w:rPr>
        <w:t>过程和</w:t>
      </w:r>
      <w:r>
        <w:rPr>
          <w:rFonts w:hint="eastAsia" w:ascii="宋体" w:hAnsi="宋体"/>
          <w:szCs w:val="21"/>
          <w:highlight w:val="none"/>
        </w:rPr>
        <w:t>后勤</w:t>
      </w:r>
      <w:r>
        <w:rPr>
          <w:rFonts w:hint="eastAsia" w:ascii="宋体" w:hAnsi="宋体"/>
          <w:szCs w:val="21"/>
        </w:rPr>
        <w:t>，ISMS范围</w:t>
      </w:r>
      <w:r>
        <w:rPr>
          <w:rFonts w:hint="eastAsia" w:ascii="宋体" w:hAnsi="宋体"/>
          <w:szCs w:val="21"/>
          <w:lang w:val="en-US" w:eastAsia="zh-CN"/>
        </w:rPr>
        <w:t>内</w:t>
      </w:r>
      <w:r>
        <w:rPr>
          <w:rFonts w:hint="eastAsia" w:ascii="宋体" w:hAnsi="宋体"/>
          <w:szCs w:val="21"/>
        </w:rPr>
        <w:t>涉及不止一处建筑物或地点；</w:t>
      </w:r>
    </w:p>
    <w:p w14:paraId="57FD5C9A">
      <w:pPr>
        <w:numPr>
          <w:ilvl w:val="1"/>
          <w:numId w:val="23"/>
        </w:numPr>
        <w:ind w:left="782" w:hanging="357"/>
        <w:rPr>
          <w:rFonts w:ascii="宋体" w:hAnsi="宋体"/>
          <w:szCs w:val="21"/>
        </w:rPr>
      </w:pPr>
      <w:r>
        <w:rPr>
          <w:rFonts w:hint="eastAsia" w:ascii="宋体" w:hAnsi="宋体"/>
          <w:szCs w:val="21"/>
        </w:rPr>
        <w:t>员工的语言</w:t>
      </w:r>
      <w:r>
        <w:rPr>
          <w:rFonts w:hint="eastAsia" w:ascii="宋体" w:hAnsi="宋体"/>
          <w:szCs w:val="21"/>
          <w:lang w:val="en-US" w:eastAsia="zh-CN"/>
        </w:rPr>
        <w:t>不止</w:t>
      </w:r>
      <w:r>
        <w:rPr>
          <w:rFonts w:hint="eastAsia" w:ascii="宋体" w:hAnsi="宋体"/>
          <w:szCs w:val="21"/>
        </w:rPr>
        <w:t>一种（需要</w:t>
      </w:r>
      <w:r>
        <w:rPr>
          <w:rFonts w:hint="eastAsia" w:ascii="宋体" w:hAnsi="宋体"/>
          <w:szCs w:val="21"/>
          <w:lang w:val="en-US" w:eastAsia="zh-CN"/>
        </w:rPr>
        <w:t>口译员</w:t>
      </w:r>
      <w:r>
        <w:rPr>
          <w:rFonts w:hint="eastAsia" w:ascii="宋体" w:hAnsi="宋体"/>
          <w:szCs w:val="21"/>
        </w:rPr>
        <w:t>或审核员个人无法独立工作），</w:t>
      </w:r>
      <w:r>
        <w:rPr>
          <w:rFonts w:hint="eastAsia" w:ascii="宋体" w:hAnsi="宋体"/>
          <w:szCs w:val="21"/>
          <w:lang w:val="en-US" w:eastAsia="zh-CN"/>
        </w:rPr>
        <w:t>或</w:t>
      </w:r>
      <w:r>
        <w:rPr>
          <w:rFonts w:hint="eastAsia" w:ascii="宋体" w:hAnsi="宋体"/>
          <w:szCs w:val="21"/>
        </w:rPr>
        <w:t>提供的文件使用了</w:t>
      </w:r>
      <w:r>
        <w:rPr>
          <w:rFonts w:hint="eastAsia" w:ascii="宋体" w:hAnsi="宋体"/>
          <w:szCs w:val="21"/>
          <w:lang w:val="en-US" w:eastAsia="zh-CN"/>
        </w:rPr>
        <w:t>多种</w:t>
      </w:r>
      <w:r>
        <w:rPr>
          <w:rFonts w:hint="eastAsia" w:ascii="宋体" w:hAnsi="宋体"/>
          <w:szCs w:val="21"/>
        </w:rPr>
        <w:t>语言；</w:t>
      </w:r>
    </w:p>
    <w:p w14:paraId="2C6CCA9F">
      <w:pPr>
        <w:numPr>
          <w:ilvl w:val="1"/>
          <w:numId w:val="23"/>
        </w:numPr>
        <w:ind w:left="782" w:hanging="357"/>
        <w:rPr>
          <w:rFonts w:ascii="宋体" w:hAnsi="宋体"/>
          <w:szCs w:val="21"/>
        </w:rPr>
      </w:pPr>
      <w:r>
        <w:rPr>
          <w:rFonts w:hint="eastAsia" w:ascii="宋体" w:hAnsi="宋体"/>
          <w:szCs w:val="21"/>
        </w:rPr>
        <w:t>为确认管理体系认证范围内永久场所的活动，需要访问临时场所的活动；</w:t>
      </w:r>
      <w:r>
        <w:rPr>
          <w:rFonts w:hint="eastAsia" w:ascii="宋体" w:hAnsi="宋体"/>
          <w:szCs w:val="21"/>
          <w:lang w:eastAsia="zh-CN"/>
        </w:rPr>
        <w:t>（</w:t>
      </w:r>
      <w:r>
        <w:rPr>
          <w:rFonts w:hint="eastAsia" w:ascii="宋体" w:hAnsi="宋体"/>
          <w:szCs w:val="21"/>
          <w:lang w:val="en-US" w:eastAsia="zh-CN"/>
        </w:rPr>
        <w:t>见下一列表之后的段落</w:t>
      </w:r>
      <w:r>
        <w:rPr>
          <w:rFonts w:hint="eastAsia" w:ascii="宋体" w:hAnsi="宋体"/>
          <w:szCs w:val="21"/>
          <w:lang w:eastAsia="zh-CN"/>
        </w:rPr>
        <w:t>）</w:t>
      </w:r>
    </w:p>
    <w:p w14:paraId="42EF9E70">
      <w:pPr>
        <w:numPr>
          <w:ilvl w:val="1"/>
          <w:numId w:val="23"/>
        </w:numPr>
        <w:ind w:left="782" w:hanging="357"/>
        <w:rPr>
          <w:rFonts w:ascii="宋体" w:hAnsi="宋体"/>
          <w:szCs w:val="21"/>
        </w:rPr>
      </w:pPr>
      <w:r>
        <w:rPr>
          <w:rFonts w:hint="eastAsia" w:ascii="宋体" w:hAnsi="宋体"/>
          <w:szCs w:val="21"/>
        </w:rPr>
        <w:t>适用于ISMS的标准和法规数量很多</w:t>
      </w:r>
      <w:r>
        <w:rPr>
          <w:rFonts w:hint="eastAsia" w:ascii="宋体" w:hAnsi="宋体"/>
          <w:szCs w:val="21"/>
          <w:lang w:eastAsia="zh-CN"/>
        </w:rPr>
        <w:t>。</w:t>
      </w:r>
    </w:p>
    <w:p w14:paraId="29B9DA3E">
      <w:pPr>
        <w:widowControl/>
        <w:ind w:firstLine="420" w:firstLineChars="200"/>
        <w:jc w:val="left"/>
        <w:outlineLvl w:val="3"/>
        <w:rPr>
          <w:rFonts w:ascii="宋体" w:hAnsi="宋体"/>
          <w:kern w:val="0"/>
          <w:szCs w:val="21"/>
          <w:lang w:val="de-DE"/>
        </w:rPr>
      </w:pPr>
      <w:r>
        <w:rPr>
          <w:rFonts w:hint="eastAsia" w:ascii="宋体" w:hAnsi="宋体"/>
          <w:kern w:val="0"/>
          <w:szCs w:val="21"/>
          <w:lang w:val="de-DE"/>
        </w:rPr>
        <w:t>允许减少审核时间的因素，例如：</w:t>
      </w:r>
    </w:p>
    <w:p w14:paraId="2C3E86BC">
      <w:pPr>
        <w:numPr>
          <w:ilvl w:val="1"/>
          <w:numId w:val="24"/>
        </w:numPr>
        <w:ind w:left="782" w:hanging="357"/>
        <w:rPr>
          <w:rFonts w:ascii="宋体" w:hAnsi="宋体"/>
          <w:szCs w:val="21"/>
        </w:rPr>
      </w:pPr>
      <w:r>
        <w:rPr>
          <w:rFonts w:hint="eastAsia" w:ascii="宋体" w:hAnsi="宋体"/>
          <w:szCs w:val="21"/>
        </w:rPr>
        <w:t>没有风险或者低风险的过程；</w:t>
      </w:r>
    </w:p>
    <w:p w14:paraId="5E60ED45">
      <w:pPr>
        <w:numPr>
          <w:ilvl w:val="1"/>
          <w:numId w:val="24"/>
        </w:numPr>
        <w:ind w:left="782" w:hanging="357"/>
        <w:rPr>
          <w:rFonts w:ascii="宋体" w:hAnsi="宋体"/>
          <w:szCs w:val="21"/>
        </w:rPr>
      </w:pPr>
      <w:r>
        <w:rPr>
          <w:rFonts w:hint="eastAsia" w:ascii="宋体" w:hAnsi="宋体"/>
          <w:szCs w:val="21"/>
        </w:rPr>
        <w:t>过程只涉及单一的常规活动（例如，只有服务）；</w:t>
      </w:r>
    </w:p>
    <w:p w14:paraId="0757B696">
      <w:pPr>
        <w:numPr>
          <w:ilvl w:val="1"/>
          <w:numId w:val="24"/>
        </w:numPr>
        <w:ind w:left="782" w:hanging="357"/>
        <w:rPr>
          <w:rFonts w:ascii="宋体" w:hAnsi="宋体"/>
          <w:szCs w:val="21"/>
        </w:rPr>
      </w:pPr>
      <w:r>
        <w:rPr>
          <w:rFonts w:hint="eastAsia" w:ascii="宋体" w:hAnsi="宋体"/>
          <w:szCs w:val="21"/>
        </w:rPr>
        <w:t>对组织已经有</w:t>
      </w:r>
      <w:r>
        <w:rPr>
          <w:rFonts w:hint="eastAsia" w:ascii="宋体" w:hAnsi="宋体"/>
          <w:szCs w:val="21"/>
          <w:lang w:val="en-US" w:eastAsia="zh-CN"/>
        </w:rPr>
        <w:t>所</w:t>
      </w:r>
      <w:r>
        <w:rPr>
          <w:rFonts w:hint="eastAsia" w:ascii="宋体" w:hAnsi="宋体"/>
          <w:szCs w:val="21"/>
        </w:rPr>
        <w:t>了解（例如，如果组织获得了同一认证机构</w:t>
      </w:r>
      <w:r>
        <w:rPr>
          <w:rFonts w:hint="eastAsia" w:ascii="宋体" w:hAnsi="宋体"/>
          <w:szCs w:val="21"/>
          <w:lang w:val="en-US" w:eastAsia="zh-CN"/>
        </w:rPr>
        <w:t>授予</w:t>
      </w:r>
      <w:r>
        <w:rPr>
          <w:rFonts w:hint="eastAsia" w:ascii="宋体" w:hAnsi="宋体"/>
          <w:szCs w:val="21"/>
        </w:rPr>
        <w:t>的另一个标准的认证）；</w:t>
      </w:r>
    </w:p>
    <w:p w14:paraId="13F781EC">
      <w:pPr>
        <w:numPr>
          <w:ilvl w:val="1"/>
          <w:numId w:val="24"/>
        </w:numPr>
        <w:ind w:left="782" w:hanging="357"/>
        <w:rPr>
          <w:rFonts w:ascii="宋体" w:hAnsi="宋体"/>
          <w:szCs w:val="21"/>
        </w:rPr>
      </w:pPr>
      <w:r>
        <w:rPr>
          <w:rFonts w:hint="eastAsia" w:ascii="宋体" w:hAnsi="宋体"/>
          <w:szCs w:val="21"/>
        </w:rPr>
        <w:t>客户的认证准备情况较好（例如，已经获得了另一个第三方认证方案的认证或承认）；</w:t>
      </w:r>
    </w:p>
    <w:p w14:paraId="757C78A2">
      <w:pPr>
        <w:numPr>
          <w:ilvl w:val="1"/>
          <w:numId w:val="24"/>
        </w:numPr>
        <w:ind w:left="782" w:hanging="357"/>
        <w:rPr>
          <w:rFonts w:ascii="宋体" w:hAnsi="宋体"/>
          <w:szCs w:val="21"/>
        </w:rPr>
      </w:pPr>
      <w:r>
        <w:rPr>
          <w:rFonts w:hint="eastAsia" w:ascii="宋体" w:hAnsi="宋体"/>
          <w:szCs w:val="21"/>
          <w:lang w:val="en-US" w:eastAsia="zh-CN"/>
        </w:rPr>
        <w:t>高度</w:t>
      </w:r>
      <w:r>
        <w:rPr>
          <w:rFonts w:hint="eastAsia" w:ascii="宋体" w:hAnsi="宋体"/>
          <w:szCs w:val="21"/>
        </w:rPr>
        <w:t>成熟的管理体系。</w:t>
      </w:r>
    </w:p>
    <w:p w14:paraId="0E65BE07">
      <w:pPr>
        <w:ind w:firstLine="420" w:firstLineChars="200"/>
        <w:rPr>
          <w:rFonts w:ascii="宋体" w:hAnsi="宋体"/>
          <w:szCs w:val="21"/>
        </w:rPr>
      </w:pPr>
      <w:r>
        <w:rPr>
          <w:rFonts w:ascii="宋体" w:hAnsi="宋体"/>
          <w:szCs w:val="21"/>
        </w:rPr>
        <w:t>当</w:t>
      </w:r>
      <w:r>
        <w:rPr>
          <w:rFonts w:hint="eastAsia" w:ascii="宋体" w:hAnsi="宋体"/>
          <w:szCs w:val="21"/>
        </w:rPr>
        <w:t>客户或获证组织在临时场所提供其产品或服务时，将对这类场所的评价纳入到认证审核和监督方案中是十分重要的。</w:t>
      </w:r>
    </w:p>
    <w:p w14:paraId="2D622FB0">
      <w:pPr>
        <w:ind w:firstLine="420" w:firstLineChars="200"/>
        <w:rPr>
          <w:rFonts w:ascii="宋体" w:hAnsi="宋体"/>
          <w:szCs w:val="21"/>
        </w:rPr>
      </w:pPr>
      <w:r>
        <w:rPr>
          <w:rFonts w:hint="eastAsia" w:ascii="宋体" w:hAnsi="宋体"/>
          <w:szCs w:val="21"/>
          <w:highlight w:val="none"/>
          <w:lang w:val="en-US" w:eastAsia="zh-CN"/>
        </w:rPr>
        <w:t>能根据</w:t>
      </w:r>
      <w:r>
        <w:rPr>
          <w:rFonts w:hint="eastAsia" w:ascii="宋体" w:hAnsi="宋体"/>
          <w:szCs w:val="21"/>
          <w:highlight w:val="none"/>
        </w:rPr>
        <w:t>以上因素</w:t>
      </w:r>
      <w:r>
        <w:rPr>
          <w:rFonts w:hint="eastAsia" w:ascii="宋体" w:hAnsi="宋体"/>
          <w:szCs w:val="21"/>
          <w:highlight w:val="none"/>
          <w:lang w:val="en-US" w:eastAsia="zh-CN"/>
        </w:rPr>
        <w:t>来调整审核时间</w:t>
      </w:r>
      <w:r>
        <w:rPr>
          <w:rFonts w:hint="eastAsia" w:ascii="宋体" w:hAnsi="宋体"/>
          <w:szCs w:val="21"/>
          <w:highlight w:val="none"/>
        </w:rPr>
        <w:t>。</w:t>
      </w:r>
      <w:r>
        <w:rPr>
          <w:rFonts w:hint="eastAsia" w:ascii="宋体" w:hAnsi="宋体"/>
          <w:szCs w:val="21"/>
          <w:highlight w:val="none"/>
          <w:lang w:val="en-US" w:eastAsia="zh-CN"/>
        </w:rPr>
        <w:t>审核时间增加因素和减少因素对审核时间的影响可能会相互抵消。</w:t>
      </w:r>
      <w:r>
        <w:rPr>
          <w:rFonts w:hint="eastAsia" w:ascii="宋体" w:hAnsi="宋体"/>
          <w:szCs w:val="21"/>
          <w:highlight w:val="none"/>
        </w:rPr>
        <w:t>在</w:t>
      </w:r>
      <w:r>
        <w:rPr>
          <w:rFonts w:hint="eastAsia" w:ascii="宋体" w:hAnsi="宋体"/>
          <w:szCs w:val="21"/>
        </w:rPr>
        <w:t>任何情况下，对审核时间表中的时间的调整，应保持足够的证据和记录来证实其变化的合理性。</w:t>
      </w:r>
    </w:p>
    <w:p w14:paraId="50F60C77">
      <w:pPr>
        <w:pStyle w:val="70"/>
        <w:numPr>
          <w:ilvl w:val="0"/>
          <w:numId w:val="0"/>
        </w:numPr>
        <w:spacing w:before="156" w:after="156"/>
        <w:rPr>
          <w:rFonts w:hAnsi="黑体"/>
          <w:lang w:val="de-DE"/>
        </w:rPr>
      </w:pPr>
      <w:r>
        <w:rPr>
          <w:rFonts w:hint="eastAsia" w:hAnsi="黑体"/>
          <w:lang w:val="de-DE"/>
        </w:rPr>
        <w:t>C.3.6　对审核时间偏离的限制</w:t>
      </w:r>
    </w:p>
    <w:p w14:paraId="3BACF43F">
      <w:pPr>
        <w:ind w:firstLine="420" w:firstLineChars="200"/>
        <w:rPr>
          <w:rFonts w:ascii="宋体" w:hAnsi="宋体"/>
          <w:szCs w:val="21"/>
          <w:lang w:val="de-DE"/>
        </w:rPr>
      </w:pPr>
      <w:r>
        <w:rPr>
          <w:rFonts w:hint="eastAsia" w:ascii="宋体" w:hAnsi="宋体"/>
          <w:szCs w:val="21"/>
          <w:lang w:val="de-DE"/>
        </w:rPr>
        <w:t>为了确保能够实施有效的审核并确保可靠和可比较的结果，对表C.1中审核时间的减少，不应超过30%。</w:t>
      </w:r>
    </w:p>
    <w:p w14:paraId="654C0440">
      <w:pPr>
        <w:ind w:firstLine="420" w:firstLineChars="200"/>
        <w:rPr>
          <w:rFonts w:ascii="宋体" w:hAnsi="宋体"/>
          <w:szCs w:val="21"/>
          <w:lang w:val="de-DE"/>
        </w:rPr>
      </w:pPr>
      <w:r>
        <w:rPr>
          <w:rFonts w:hint="eastAsia" w:ascii="宋体" w:hAnsi="宋体"/>
          <w:szCs w:val="21"/>
          <w:lang w:val="de-DE"/>
        </w:rPr>
        <w:t>应确定</w:t>
      </w:r>
      <w:r>
        <w:rPr>
          <w:rFonts w:hint="eastAsia" w:ascii="宋体" w:hAnsi="宋体"/>
          <w:szCs w:val="21"/>
          <w:lang w:val="en-US" w:eastAsia="zh-CN"/>
        </w:rPr>
        <w:t>和记录</w:t>
      </w:r>
      <w:r>
        <w:rPr>
          <w:rFonts w:hint="eastAsia" w:ascii="宋体" w:hAnsi="宋体"/>
          <w:szCs w:val="21"/>
          <w:lang w:val="de-DE"/>
        </w:rPr>
        <w:t>偏离审核时间表的适当理由。</w:t>
      </w:r>
    </w:p>
    <w:p w14:paraId="1D6BFDFE">
      <w:pPr>
        <w:pStyle w:val="70"/>
        <w:numPr>
          <w:ilvl w:val="0"/>
          <w:numId w:val="0"/>
        </w:numPr>
        <w:spacing w:before="156" w:after="156"/>
        <w:rPr>
          <w:rFonts w:hAnsi="黑体"/>
          <w:lang w:val="de-DE"/>
        </w:rPr>
      </w:pPr>
      <w:r>
        <w:rPr>
          <w:rFonts w:hint="eastAsia" w:hAnsi="黑体"/>
          <w:lang w:val="de-DE"/>
        </w:rPr>
        <w:t>C.3.7　现场审核时间</w:t>
      </w:r>
    </w:p>
    <w:p w14:paraId="1EFF3483">
      <w:pPr>
        <w:ind w:firstLine="420" w:firstLineChars="200"/>
        <w:rPr>
          <w:rFonts w:ascii="宋体" w:hAnsi="宋体"/>
          <w:color w:val="auto"/>
          <w:szCs w:val="21"/>
          <w:u w:val="none"/>
        </w:rPr>
      </w:pPr>
      <w:r>
        <w:rPr>
          <w:rFonts w:hint="eastAsia" w:ascii="宋体" w:hAnsi="宋体"/>
          <w:color w:val="auto"/>
          <w:szCs w:val="21"/>
          <w:u w:val="none"/>
        </w:rPr>
        <w:t>策划和编制报告</w:t>
      </w:r>
      <w:r>
        <w:rPr>
          <w:rFonts w:hint="eastAsia" w:ascii="宋体" w:hAnsi="宋体"/>
          <w:color w:val="auto"/>
          <w:szCs w:val="21"/>
          <w:u w:val="none"/>
          <w:lang w:val="en-US" w:eastAsia="zh-CN"/>
        </w:rPr>
        <w:t>合计</w:t>
      </w:r>
      <w:r>
        <w:rPr>
          <w:rFonts w:hint="eastAsia" w:ascii="宋体" w:hAnsi="宋体"/>
          <w:color w:val="auto"/>
          <w:szCs w:val="21"/>
          <w:u w:val="none"/>
        </w:rPr>
        <w:t>所用的时间，通常不宜使总的现场“审核时间”（物理/远程）减少到根据C.3.3、C.3.4和C.3.5所计算出的时间的70%以下。当策划和/或编制报告需要增加时间时，这不应成为减少现场审核时间的理由。审核员</w:t>
      </w:r>
      <w:r>
        <w:rPr>
          <w:rFonts w:hint="eastAsia" w:ascii="宋体" w:hAnsi="宋体"/>
          <w:color w:val="auto"/>
          <w:szCs w:val="21"/>
          <w:u w:val="none"/>
          <w:lang w:eastAsia="zh-CN"/>
        </w:rPr>
        <w:t>的</w:t>
      </w:r>
      <w:r>
        <w:rPr>
          <w:rFonts w:hint="eastAsia" w:ascii="宋体" w:hAnsi="宋体"/>
          <w:color w:val="auto"/>
          <w:szCs w:val="21"/>
          <w:u w:val="none"/>
        </w:rPr>
        <w:t>旅途时间未</w:t>
      </w:r>
      <w:r>
        <w:rPr>
          <w:rFonts w:hint="eastAsia" w:ascii="宋体" w:hAnsi="宋体"/>
          <w:color w:val="auto"/>
          <w:szCs w:val="21"/>
          <w:u w:val="none"/>
          <w:lang w:val="en-US" w:eastAsia="zh-CN"/>
        </w:rPr>
        <w:t>包含在本附录的审核时间计算</w:t>
      </w:r>
      <w:r>
        <w:rPr>
          <w:rFonts w:hint="eastAsia" w:ascii="宋体" w:hAnsi="宋体"/>
          <w:color w:val="auto"/>
          <w:szCs w:val="21"/>
          <w:u w:val="none"/>
        </w:rPr>
        <w:t>内，应在表</w:t>
      </w:r>
      <w:r>
        <w:rPr>
          <w:rFonts w:hint="eastAsia" w:ascii="宋体" w:hAnsi="宋体"/>
          <w:color w:val="auto"/>
          <w:szCs w:val="21"/>
          <w:u w:val="none"/>
          <w:lang w:val="en-US" w:eastAsia="zh-CN"/>
        </w:rPr>
        <w:t>C.1</w:t>
      </w:r>
      <w:r>
        <w:rPr>
          <w:rFonts w:hint="eastAsia" w:ascii="宋体" w:hAnsi="宋体"/>
          <w:color w:val="auto"/>
          <w:szCs w:val="21"/>
          <w:u w:val="none"/>
        </w:rPr>
        <w:t>的审核时间的基础上另</w:t>
      </w:r>
      <w:r>
        <w:rPr>
          <w:rFonts w:hint="eastAsia" w:ascii="宋体" w:hAnsi="宋体"/>
          <w:color w:val="auto"/>
          <w:szCs w:val="21"/>
          <w:u w:val="none"/>
          <w:lang w:val="en-US" w:eastAsia="zh-CN"/>
        </w:rPr>
        <w:t>行</w:t>
      </w:r>
      <w:r>
        <w:rPr>
          <w:rFonts w:hint="eastAsia" w:ascii="宋体" w:hAnsi="宋体"/>
          <w:color w:val="auto"/>
          <w:szCs w:val="21"/>
          <w:u w:val="none"/>
        </w:rPr>
        <w:t>增加。</w:t>
      </w:r>
    </w:p>
    <w:p w14:paraId="7A6D05E6">
      <w:pPr>
        <w:pStyle w:val="36"/>
        <w:ind w:firstLine="360"/>
        <w:rPr>
          <w:rFonts w:hint="eastAsia" w:hAnsi="宋体"/>
          <w:sz w:val="18"/>
          <w:szCs w:val="18"/>
          <w:lang w:val="de-DE"/>
        </w:rPr>
      </w:pPr>
      <w:r>
        <w:rPr>
          <w:rFonts w:hint="eastAsia" w:ascii="黑体" w:hAnsi="黑体" w:eastAsia="黑体"/>
          <w:sz w:val="18"/>
          <w:szCs w:val="18"/>
          <w:lang w:val="de-DE"/>
        </w:rPr>
        <w:t>注</w:t>
      </w:r>
      <w:r>
        <w:rPr>
          <w:rFonts w:hint="eastAsia" w:ascii="黑体" w:hAnsi="黑体" w:eastAsia="黑体"/>
          <w:sz w:val="18"/>
          <w:szCs w:val="18"/>
          <w:lang w:val="en-US" w:eastAsia="zh-CN"/>
        </w:rPr>
        <w:t>1</w:t>
      </w:r>
      <w:r>
        <w:rPr>
          <w:rFonts w:hint="eastAsia" w:ascii="黑体" w:hAnsi="黑体" w:eastAsia="黑体"/>
          <w:sz w:val="18"/>
          <w:szCs w:val="18"/>
          <w:lang w:val="de-DE"/>
        </w:rPr>
        <w:t>：</w:t>
      </w:r>
      <w:r>
        <w:rPr>
          <w:rFonts w:hint="eastAsia" w:hAnsi="宋体"/>
          <w:sz w:val="18"/>
          <w:szCs w:val="18"/>
          <w:lang w:val="de-DE"/>
        </w:rPr>
        <w:t>70%是基于ISMS审核经验所得出的系数。</w:t>
      </w:r>
    </w:p>
    <w:p w14:paraId="353D5096">
      <w:pPr>
        <w:pStyle w:val="36"/>
        <w:ind w:firstLine="360"/>
        <w:rPr>
          <w:rFonts w:hAnsi="宋体"/>
          <w:sz w:val="18"/>
          <w:szCs w:val="18"/>
          <w:lang w:val="de-DE"/>
        </w:rPr>
      </w:pPr>
      <w:r>
        <w:rPr>
          <w:rFonts w:hint="eastAsia" w:ascii="黑体" w:hAnsi="黑体" w:eastAsia="黑体"/>
          <w:sz w:val="18"/>
          <w:szCs w:val="18"/>
          <w:lang w:val="de-DE"/>
        </w:rPr>
        <w:t>注</w:t>
      </w:r>
      <w:r>
        <w:rPr>
          <w:rFonts w:hint="eastAsia" w:ascii="黑体" w:hAnsi="黑体" w:eastAsia="黑体"/>
          <w:sz w:val="18"/>
          <w:szCs w:val="18"/>
          <w:lang w:val="en-US" w:eastAsia="zh-CN"/>
        </w:rPr>
        <w:t>2</w:t>
      </w:r>
      <w:r>
        <w:rPr>
          <w:rFonts w:hint="eastAsia" w:ascii="黑体" w:hAnsi="黑体" w:eastAsia="黑体"/>
          <w:sz w:val="18"/>
          <w:szCs w:val="18"/>
          <w:lang w:val="de-DE"/>
        </w:rPr>
        <w:t>：</w:t>
      </w:r>
      <w:r>
        <w:rPr>
          <w:rFonts w:hint="eastAsia" w:hAnsi="宋体"/>
          <w:sz w:val="18"/>
          <w:szCs w:val="18"/>
          <w:lang w:val="de-DE"/>
        </w:rPr>
        <w:t>术语“物理/远程”是指“现场”审核(</w:t>
      </w:r>
      <w:r>
        <w:rPr>
          <w:rFonts w:hint="eastAsia" w:hAnsi="宋体"/>
          <w:sz w:val="18"/>
          <w:szCs w:val="18"/>
          <w:lang w:val="en-US" w:eastAsia="zh-CN"/>
        </w:rPr>
        <w:t>对</w:t>
      </w:r>
      <w:r>
        <w:rPr>
          <w:rFonts w:hint="eastAsia" w:hAnsi="宋体"/>
          <w:sz w:val="18"/>
          <w:szCs w:val="18"/>
          <w:lang w:val="de-DE"/>
        </w:rPr>
        <w:t>客户的物理</w:t>
      </w:r>
      <w:r>
        <w:rPr>
          <w:rFonts w:hint="eastAsia" w:hAnsi="宋体"/>
          <w:sz w:val="18"/>
          <w:szCs w:val="18"/>
          <w:lang w:val="en-US" w:eastAsia="zh-CN"/>
        </w:rPr>
        <w:t>场所</w:t>
      </w:r>
      <w:r>
        <w:rPr>
          <w:rFonts w:hint="eastAsia" w:hAnsi="宋体"/>
          <w:sz w:val="18"/>
          <w:szCs w:val="18"/>
          <w:lang w:val="de-DE"/>
        </w:rPr>
        <w:t>或电子</w:t>
      </w:r>
      <w:r>
        <w:rPr>
          <w:rFonts w:hint="eastAsia" w:hAnsi="宋体"/>
          <w:sz w:val="18"/>
          <w:szCs w:val="18"/>
          <w:lang w:val="en-US" w:eastAsia="zh-CN"/>
        </w:rPr>
        <w:t>化场所</w:t>
      </w:r>
      <w:r>
        <w:rPr>
          <w:rFonts w:hint="eastAsia" w:hAnsi="宋体"/>
          <w:sz w:val="18"/>
          <w:szCs w:val="18"/>
          <w:lang w:val="de-DE"/>
        </w:rPr>
        <w:t>)</w:t>
      </w:r>
      <w:r>
        <w:rPr>
          <w:rFonts w:hint="eastAsia" w:hAnsi="宋体"/>
          <w:sz w:val="18"/>
          <w:szCs w:val="18"/>
          <w:lang w:val="en-US" w:eastAsia="zh-CN"/>
        </w:rPr>
        <w:t>能以</w:t>
      </w:r>
      <w:r>
        <w:rPr>
          <w:rFonts w:hint="eastAsia" w:hAnsi="宋体"/>
          <w:sz w:val="18"/>
          <w:szCs w:val="18"/>
          <w:lang w:val="de-DE"/>
        </w:rPr>
        <w:t>物理或远程</w:t>
      </w:r>
      <w:r>
        <w:rPr>
          <w:rFonts w:hint="eastAsia" w:hAnsi="宋体"/>
          <w:sz w:val="18"/>
          <w:szCs w:val="18"/>
          <w:lang w:val="de-DE" w:eastAsia="zh-CN"/>
        </w:rPr>
        <w:t>的</w:t>
      </w:r>
      <w:r>
        <w:rPr>
          <w:rFonts w:hint="eastAsia" w:hAnsi="宋体"/>
          <w:sz w:val="18"/>
          <w:szCs w:val="18"/>
          <w:lang w:val="en-US" w:eastAsia="zh-CN"/>
        </w:rPr>
        <w:t>方式</w:t>
      </w:r>
      <w:r>
        <w:rPr>
          <w:rFonts w:hint="eastAsia" w:hAnsi="宋体"/>
          <w:sz w:val="18"/>
          <w:szCs w:val="18"/>
          <w:lang w:val="de-DE"/>
        </w:rPr>
        <w:t>进行(见9.2.3和C.3.2)。关于“现场”审核，</w:t>
      </w:r>
      <w:r>
        <w:rPr>
          <w:rFonts w:hint="eastAsia" w:hAnsi="宋体"/>
          <w:sz w:val="18"/>
          <w:szCs w:val="18"/>
          <w:lang w:val="en-US" w:eastAsia="zh-CN"/>
        </w:rPr>
        <w:t>请</w:t>
      </w:r>
      <w:r>
        <w:rPr>
          <w:rFonts w:hint="eastAsia" w:hAnsi="宋体"/>
          <w:sz w:val="18"/>
          <w:szCs w:val="18"/>
          <w:lang w:val="de-DE"/>
        </w:rPr>
        <w:t>参见GB/T 27021.1-2017, 9.4.1。</w:t>
      </w:r>
    </w:p>
    <w:p w14:paraId="6790A71E">
      <w:pPr>
        <w:pStyle w:val="70"/>
        <w:numPr>
          <w:ilvl w:val="0"/>
          <w:numId w:val="0"/>
        </w:numPr>
        <w:spacing w:before="156" w:after="156"/>
        <w:rPr>
          <w:rFonts w:hAnsi="黑体"/>
          <w:lang w:val="de-DE"/>
        </w:rPr>
      </w:pPr>
      <w:r>
        <w:rPr>
          <w:rFonts w:hint="eastAsia" w:hAnsi="黑体"/>
          <w:lang w:val="de-DE"/>
        </w:rPr>
        <w:t>C.4　监督审核的审核时间</w:t>
      </w:r>
    </w:p>
    <w:p w14:paraId="007D5E7C">
      <w:pPr>
        <w:ind w:firstLine="420" w:firstLineChars="200"/>
        <w:rPr>
          <w:rFonts w:ascii="宋体" w:hAnsi="宋体"/>
          <w:szCs w:val="21"/>
        </w:rPr>
      </w:pPr>
      <w:r>
        <w:rPr>
          <w:rFonts w:hint="eastAsia" w:ascii="宋体" w:hAnsi="宋体"/>
          <w:szCs w:val="21"/>
        </w:rPr>
        <w:t>在初次认证审核周期，对一个组织的监督时间宜与初次审核时间成比例，每年用于监督审核的时间总量大约是初次审核时间的1/3。宜不定期</w:t>
      </w:r>
      <w:r>
        <w:rPr>
          <w:rFonts w:hint="eastAsia" w:ascii="宋体" w:hAnsi="宋体"/>
          <w:szCs w:val="21"/>
          <w:lang w:val="en-US" w:eastAsia="zh-CN"/>
        </w:rPr>
        <w:t>地评审</w:t>
      </w:r>
      <w:r>
        <w:rPr>
          <w:rFonts w:hint="eastAsia" w:ascii="宋体" w:hAnsi="宋体"/>
          <w:szCs w:val="21"/>
        </w:rPr>
        <w:t>所策划的监督审核时间，以考虑</w:t>
      </w:r>
      <w:r>
        <w:rPr>
          <w:rFonts w:hint="eastAsia" w:ascii="宋体" w:hAnsi="宋体"/>
          <w:szCs w:val="21"/>
          <w:lang w:val="en-US" w:eastAsia="zh-CN"/>
        </w:rPr>
        <w:t>可能</w:t>
      </w:r>
      <w:r>
        <w:rPr>
          <w:rFonts w:hint="eastAsia" w:ascii="宋体" w:hAnsi="宋体"/>
          <w:szCs w:val="21"/>
        </w:rPr>
        <w:t>影响审核时间的变更。为审核ISMS的变更（例如，审核新的或发生变更的信息安全控制、</w:t>
      </w:r>
      <w:r>
        <w:rPr>
          <w:rFonts w:hint="eastAsia" w:ascii="宋体" w:hAnsi="宋体"/>
          <w:szCs w:val="21"/>
          <w:lang w:val="en-US" w:eastAsia="zh-CN"/>
        </w:rPr>
        <w:t>过</w:t>
      </w:r>
      <w:r>
        <w:rPr>
          <w:rFonts w:hint="eastAsia" w:ascii="宋体" w:hAnsi="宋体"/>
          <w:szCs w:val="21"/>
        </w:rPr>
        <w:t>程和服务），应增加监督审核时间。</w:t>
      </w:r>
    </w:p>
    <w:p w14:paraId="5C016587">
      <w:pPr>
        <w:pStyle w:val="70"/>
        <w:numPr>
          <w:ilvl w:val="0"/>
          <w:numId w:val="0"/>
        </w:numPr>
        <w:spacing w:before="156" w:after="156"/>
        <w:rPr>
          <w:rFonts w:hAnsi="黑体"/>
          <w:lang w:val="de-DE"/>
        </w:rPr>
      </w:pPr>
      <w:r>
        <w:rPr>
          <w:rFonts w:hint="eastAsia" w:hAnsi="黑体"/>
          <w:lang w:val="de-DE"/>
        </w:rPr>
        <w:t>C.5　再认证审核的审核时间</w:t>
      </w:r>
    </w:p>
    <w:p w14:paraId="05A69A85">
      <w:pPr>
        <w:ind w:left="105" w:leftChars="50" w:firstLine="315" w:firstLineChars="150"/>
        <w:rPr>
          <w:rFonts w:ascii="宋体" w:hAnsi="宋体"/>
          <w:szCs w:val="21"/>
        </w:rPr>
      </w:pPr>
      <w:r>
        <w:rPr>
          <w:rFonts w:hint="eastAsia" w:ascii="宋体" w:hAnsi="宋体"/>
          <w:szCs w:val="21"/>
        </w:rPr>
        <w:t>用于再认证审核的</w:t>
      </w:r>
      <w:r>
        <w:rPr>
          <w:rFonts w:hint="eastAsia" w:ascii="宋体" w:hAnsi="宋体"/>
          <w:szCs w:val="21"/>
          <w:lang w:val="en-US" w:eastAsia="zh-CN"/>
        </w:rPr>
        <w:t>总</w:t>
      </w:r>
      <w:r>
        <w:rPr>
          <w:rFonts w:hint="eastAsia" w:ascii="宋体" w:hAnsi="宋体"/>
          <w:szCs w:val="21"/>
        </w:rPr>
        <w:t>时间，应取决于9.4.3和GB/T 27021.1-201</w:t>
      </w:r>
      <w:r>
        <w:rPr>
          <w:rFonts w:ascii="宋体" w:hAnsi="宋体"/>
          <w:szCs w:val="21"/>
        </w:rPr>
        <w:t>7</w:t>
      </w:r>
      <w:r>
        <w:rPr>
          <w:rFonts w:hint="eastAsia" w:ascii="宋体" w:hAnsi="宋体"/>
          <w:szCs w:val="21"/>
        </w:rPr>
        <w:t>中9.6.3</w:t>
      </w:r>
      <w:r>
        <w:rPr>
          <w:rFonts w:hint="eastAsia" w:ascii="宋体" w:hAnsi="宋体"/>
          <w:szCs w:val="21"/>
          <w:lang w:val="en-US" w:eastAsia="zh-CN"/>
        </w:rPr>
        <w:t>所述的</w:t>
      </w:r>
      <w:r>
        <w:rPr>
          <w:rFonts w:hint="eastAsia" w:ascii="宋体" w:hAnsi="宋体"/>
          <w:szCs w:val="21"/>
        </w:rPr>
        <w:t>、任何以往审核的结果。再认证审核所需的时间，宜与同一组织的初次认证审核所用的时间成比例，宜至少是同一组织初次认证审核时间的2/3。</w:t>
      </w:r>
    </w:p>
    <w:p w14:paraId="08E756D0">
      <w:pPr>
        <w:pStyle w:val="70"/>
        <w:numPr>
          <w:ilvl w:val="0"/>
          <w:numId w:val="0"/>
        </w:numPr>
        <w:spacing w:before="156" w:after="156"/>
        <w:rPr>
          <w:rFonts w:hAnsi="黑体"/>
          <w:lang w:val="de-DE"/>
        </w:rPr>
      </w:pPr>
      <w:r>
        <w:rPr>
          <w:rFonts w:hint="eastAsia" w:hAnsi="黑体"/>
          <w:lang w:val="de-DE"/>
        </w:rPr>
        <w:t>C.6　多场所的审核时间</w:t>
      </w:r>
    </w:p>
    <w:p w14:paraId="2397E0E3">
      <w:pPr>
        <w:ind w:left="105" w:leftChars="50" w:firstLine="315" w:firstLineChars="150"/>
        <w:rPr>
          <w:rFonts w:hint="eastAsia" w:ascii="宋体" w:hAnsi="宋体"/>
          <w:szCs w:val="21"/>
          <w:lang w:val="de-DE"/>
        </w:rPr>
      </w:pPr>
      <w:r>
        <w:rPr>
          <w:rFonts w:hint="eastAsia" w:ascii="宋体" w:hAnsi="宋体"/>
          <w:szCs w:val="21"/>
          <w:lang w:val="en-US" w:eastAsia="zh-CN"/>
        </w:rPr>
        <w:t>通常，</w:t>
      </w:r>
      <w:r>
        <w:rPr>
          <w:rFonts w:hint="eastAsia" w:ascii="宋体" w:hAnsi="宋体"/>
          <w:szCs w:val="21"/>
          <w:lang w:val="de-DE"/>
        </w:rPr>
        <w:t>总</w:t>
      </w:r>
      <w:r>
        <w:rPr>
          <w:rFonts w:hint="eastAsia" w:ascii="宋体" w:hAnsi="宋体"/>
          <w:szCs w:val="21"/>
          <w:lang w:val="de-DE" w:eastAsia="zh-CN"/>
        </w:rPr>
        <w:t>的</w:t>
      </w:r>
      <w:r>
        <w:rPr>
          <w:rFonts w:hint="eastAsia" w:ascii="宋体" w:hAnsi="宋体"/>
          <w:szCs w:val="21"/>
          <w:lang w:val="de-DE"/>
        </w:rPr>
        <w:t>现场审核时间应考虑在组织控制下工作的人员总数，而</w:t>
      </w:r>
      <w:r>
        <w:rPr>
          <w:rFonts w:hint="eastAsia" w:ascii="宋体" w:hAnsi="宋体"/>
          <w:szCs w:val="21"/>
          <w:lang w:val="en-US" w:eastAsia="zh-CN"/>
        </w:rPr>
        <w:t>不考虑人员所在</w:t>
      </w:r>
      <w:r>
        <w:rPr>
          <w:rFonts w:hint="eastAsia" w:ascii="宋体" w:hAnsi="宋体"/>
          <w:szCs w:val="21"/>
          <w:lang w:val="de-DE" w:eastAsia="zh-CN"/>
        </w:rPr>
        <w:t>的</w:t>
      </w:r>
      <w:r>
        <w:rPr>
          <w:rFonts w:hint="eastAsia" w:ascii="宋体" w:hAnsi="宋体"/>
          <w:szCs w:val="21"/>
          <w:lang w:val="de-DE"/>
        </w:rPr>
        <w:t>位置。</w:t>
      </w:r>
    </w:p>
    <w:p w14:paraId="298DA936">
      <w:pPr>
        <w:ind w:left="105" w:leftChars="50" w:firstLine="315" w:firstLineChars="150"/>
        <w:rPr>
          <w:rFonts w:hint="eastAsia" w:ascii="宋体" w:hAnsi="宋体"/>
          <w:szCs w:val="21"/>
          <w:lang w:val="de-DE"/>
        </w:rPr>
      </w:pPr>
      <w:r>
        <w:rPr>
          <w:rFonts w:hint="eastAsia" w:ascii="宋体" w:hAnsi="宋体"/>
          <w:szCs w:val="21"/>
          <w:lang w:val="en-US" w:eastAsia="zh-CN"/>
        </w:rPr>
        <w:t>或者</w:t>
      </w:r>
      <w:r>
        <w:rPr>
          <w:rFonts w:hint="eastAsia" w:ascii="宋体" w:hAnsi="宋体"/>
          <w:szCs w:val="21"/>
          <w:lang w:val="de-DE"/>
        </w:rPr>
        <w:t>，基于</w:t>
      </w:r>
      <w:r>
        <w:rPr>
          <w:rFonts w:hint="eastAsia" w:ascii="宋体" w:hAnsi="宋体"/>
          <w:szCs w:val="21"/>
          <w:lang w:val="en-US" w:eastAsia="zh-CN"/>
        </w:rPr>
        <w:t>形成文件的</w:t>
      </w:r>
      <w:r>
        <w:rPr>
          <w:rFonts w:hint="eastAsia" w:ascii="宋体" w:hAnsi="宋体"/>
          <w:szCs w:val="21"/>
          <w:lang w:val="de-DE"/>
        </w:rPr>
        <w:t>合理理由，允许对每个场所单独计算的审核时间进行汇总</w:t>
      </w:r>
      <w:r>
        <w:rPr>
          <w:rFonts w:hint="eastAsia" w:ascii="宋体" w:hAnsi="宋体"/>
          <w:szCs w:val="21"/>
          <w:lang w:val="de-DE" w:eastAsia="zh-CN"/>
        </w:rPr>
        <w:t>，</w:t>
      </w:r>
      <w:r>
        <w:rPr>
          <w:rFonts w:hint="eastAsia" w:ascii="宋体" w:hAnsi="宋体"/>
          <w:szCs w:val="21"/>
          <w:lang w:val="de-DE"/>
        </w:rPr>
        <w:t>只要总审核时间大于</w:t>
      </w:r>
      <w:r>
        <w:rPr>
          <w:rFonts w:hint="eastAsia" w:ascii="宋体" w:hAnsi="宋体"/>
          <w:szCs w:val="21"/>
          <w:lang w:val="en-US" w:eastAsia="zh-CN"/>
        </w:rPr>
        <w:t>按照</w:t>
      </w:r>
      <w:r>
        <w:rPr>
          <w:rFonts w:hint="eastAsia" w:ascii="宋体" w:hAnsi="宋体"/>
          <w:szCs w:val="21"/>
          <w:lang w:val="de-DE"/>
        </w:rPr>
        <w:t>本条第一段</w:t>
      </w:r>
      <w:r>
        <w:rPr>
          <w:rFonts w:hint="eastAsia" w:ascii="宋体" w:hAnsi="宋体"/>
          <w:szCs w:val="21"/>
          <w:lang w:val="de-DE" w:eastAsia="zh-CN"/>
        </w:rPr>
        <w:t>的</w:t>
      </w:r>
      <w:r>
        <w:rPr>
          <w:rFonts w:hint="eastAsia" w:ascii="宋体" w:hAnsi="宋体"/>
          <w:szCs w:val="21"/>
          <w:lang w:val="en-US" w:eastAsia="zh-CN"/>
        </w:rPr>
        <w:t>计算结果</w:t>
      </w:r>
      <w:r>
        <w:rPr>
          <w:rFonts w:hint="eastAsia" w:ascii="宋体" w:hAnsi="宋体"/>
          <w:szCs w:val="21"/>
          <w:lang w:val="de-DE"/>
        </w:rPr>
        <w:t>。</w:t>
      </w:r>
      <w:r>
        <w:rPr>
          <w:rFonts w:hint="eastAsia" w:ascii="宋体" w:hAnsi="宋体"/>
          <w:szCs w:val="21"/>
          <w:lang w:val="en-US" w:eastAsia="zh-CN"/>
        </w:rPr>
        <w:t>适用时，若某些审核内容</w:t>
      </w:r>
      <w:r>
        <w:rPr>
          <w:rFonts w:hint="eastAsia" w:ascii="宋体" w:hAnsi="宋体"/>
          <w:szCs w:val="21"/>
          <w:lang w:val="de-DE"/>
        </w:rPr>
        <w:t>与总部办公室或本地</w:t>
      </w:r>
      <w:r>
        <w:rPr>
          <w:rFonts w:hint="eastAsia" w:ascii="宋体" w:hAnsi="宋体"/>
          <w:szCs w:val="21"/>
          <w:lang w:val="en-US" w:eastAsia="zh-CN"/>
        </w:rPr>
        <w:t>场所无关</w:t>
      </w:r>
      <w:r>
        <w:rPr>
          <w:rFonts w:hint="eastAsia" w:ascii="宋体" w:hAnsi="宋体"/>
          <w:szCs w:val="21"/>
          <w:lang w:val="de-DE"/>
        </w:rPr>
        <w:t>，</w:t>
      </w:r>
      <w:r>
        <w:rPr>
          <w:rFonts w:hint="eastAsia" w:ascii="宋体" w:hAnsi="宋体"/>
          <w:szCs w:val="21"/>
          <w:lang w:val="en-US" w:eastAsia="zh-CN"/>
        </w:rPr>
        <w:t>则</w:t>
      </w:r>
      <w:r>
        <w:rPr>
          <w:rFonts w:hint="eastAsia" w:ascii="宋体" w:hAnsi="宋体"/>
          <w:szCs w:val="21"/>
          <w:lang w:val="de-DE"/>
        </w:rPr>
        <w:t>可以</w:t>
      </w:r>
      <w:r>
        <w:rPr>
          <w:rFonts w:hint="eastAsia" w:ascii="宋体" w:hAnsi="宋体"/>
          <w:szCs w:val="21"/>
          <w:lang w:val="en-US" w:eastAsia="zh-CN"/>
        </w:rPr>
        <w:t>减少审核时间</w:t>
      </w:r>
      <w:r>
        <w:rPr>
          <w:rFonts w:hint="eastAsia" w:ascii="宋体" w:hAnsi="宋体"/>
          <w:szCs w:val="21"/>
          <w:lang w:val="de-DE"/>
        </w:rPr>
        <w:t>。认证机构应记录</w:t>
      </w:r>
      <w:r>
        <w:rPr>
          <w:rFonts w:hint="eastAsia" w:ascii="宋体" w:hAnsi="宋体"/>
          <w:szCs w:val="21"/>
          <w:lang w:val="en-US" w:eastAsia="zh-CN"/>
        </w:rPr>
        <w:t>这类减少</w:t>
      </w:r>
      <w:r>
        <w:rPr>
          <w:rFonts w:hint="eastAsia" w:ascii="宋体" w:hAnsi="宋体"/>
          <w:szCs w:val="21"/>
          <w:lang w:val="de-DE"/>
        </w:rPr>
        <w:t>的理由。</w:t>
      </w:r>
    </w:p>
    <w:p w14:paraId="5369A76C">
      <w:pPr>
        <w:ind w:left="105" w:leftChars="50" w:firstLine="315" w:firstLineChars="150"/>
        <w:rPr>
          <w:rFonts w:hint="eastAsia" w:ascii="宋体" w:hAnsi="宋体"/>
          <w:szCs w:val="21"/>
          <w:lang w:val="de-DE"/>
        </w:rPr>
      </w:pPr>
      <w:r>
        <w:rPr>
          <w:rFonts w:hint="eastAsia" w:ascii="宋体" w:hAnsi="宋体"/>
          <w:szCs w:val="21"/>
          <w:lang w:val="de-DE"/>
        </w:rPr>
        <w:t>根据C.3.3和C.3.4以及本条规定的程序</w:t>
      </w:r>
      <w:r>
        <w:rPr>
          <w:rFonts w:hint="eastAsia" w:ascii="宋体" w:hAnsi="宋体"/>
          <w:szCs w:val="21"/>
          <w:lang w:val="de-DE" w:eastAsia="zh-CN"/>
        </w:rPr>
        <w:t>，</w:t>
      </w:r>
      <w:r>
        <w:rPr>
          <w:rFonts w:hint="eastAsia" w:ascii="宋体" w:hAnsi="宋体"/>
          <w:szCs w:val="21"/>
          <w:lang w:val="en-US" w:eastAsia="zh-CN"/>
        </w:rPr>
        <w:t>为</w:t>
      </w:r>
      <w:r>
        <w:rPr>
          <w:rFonts w:hint="eastAsia" w:ascii="宋体" w:hAnsi="宋体"/>
          <w:szCs w:val="21"/>
          <w:lang w:val="de-DE"/>
        </w:rPr>
        <w:t>认证范围计算出</w:t>
      </w:r>
      <w:r>
        <w:rPr>
          <w:rFonts w:hint="eastAsia" w:ascii="宋体" w:hAnsi="宋体"/>
          <w:szCs w:val="21"/>
          <w:lang w:val="en-US" w:eastAsia="zh-CN"/>
        </w:rPr>
        <w:t>总的现场审核人日</w:t>
      </w:r>
      <w:r>
        <w:rPr>
          <w:rFonts w:hint="eastAsia" w:ascii="宋体" w:hAnsi="宋体"/>
          <w:szCs w:val="21"/>
          <w:lang w:val="de-DE" w:eastAsia="zh-CN"/>
        </w:rPr>
        <w:t>。</w:t>
      </w:r>
      <w:r>
        <w:rPr>
          <w:rFonts w:hint="eastAsia" w:ascii="宋体" w:hAnsi="宋体"/>
          <w:szCs w:val="21"/>
          <w:lang w:val="de-DE"/>
        </w:rPr>
        <w:t>应根据场所与管理体系的相关性、场所</w:t>
      </w:r>
      <w:r>
        <w:rPr>
          <w:rFonts w:hint="eastAsia" w:ascii="宋体" w:hAnsi="宋体"/>
          <w:szCs w:val="21"/>
          <w:lang w:val="en-US" w:eastAsia="zh-CN"/>
        </w:rPr>
        <w:t>所</w:t>
      </w:r>
      <w:r>
        <w:rPr>
          <w:rFonts w:hint="eastAsia" w:ascii="宋体" w:hAnsi="宋体"/>
          <w:szCs w:val="21"/>
          <w:lang w:val="de-DE"/>
        </w:rPr>
        <w:t>开展的活动和所识别的风险，</w:t>
      </w:r>
      <w:r>
        <w:rPr>
          <w:rFonts w:hint="eastAsia" w:ascii="宋体" w:hAnsi="宋体"/>
          <w:szCs w:val="21"/>
          <w:lang w:val="en-US" w:eastAsia="zh-CN"/>
        </w:rPr>
        <w:t>将总的现场审核人日</w:t>
      </w:r>
      <w:r>
        <w:rPr>
          <w:rFonts w:hint="eastAsia" w:ascii="宋体" w:hAnsi="宋体"/>
          <w:szCs w:val="21"/>
          <w:lang w:val="de-DE"/>
        </w:rPr>
        <w:t>分配到不同的场所。认证机构应记录分配的理由。</w:t>
      </w:r>
    </w:p>
    <w:p w14:paraId="0A56F4C1">
      <w:pPr>
        <w:ind w:left="105" w:leftChars="50" w:firstLine="315" w:firstLineChars="150"/>
        <w:rPr>
          <w:rFonts w:hint="eastAsia" w:ascii="宋体" w:hAnsi="宋体"/>
          <w:szCs w:val="21"/>
          <w:lang w:val="de-DE"/>
        </w:rPr>
      </w:pPr>
      <w:r>
        <w:rPr>
          <w:rFonts w:hint="eastAsia" w:ascii="宋体" w:hAnsi="宋体"/>
          <w:szCs w:val="21"/>
          <w:lang w:val="de-DE"/>
        </w:rPr>
        <w:t>任何</w:t>
      </w:r>
      <w:r>
        <w:rPr>
          <w:rFonts w:hint="eastAsia" w:ascii="宋体" w:hAnsi="宋体"/>
          <w:szCs w:val="21"/>
          <w:lang w:val="en-US" w:eastAsia="zh-CN"/>
        </w:rPr>
        <w:t>审核时间的减少</w:t>
      </w:r>
      <w:r>
        <w:rPr>
          <w:rFonts w:hint="eastAsia" w:ascii="宋体" w:hAnsi="宋体"/>
          <w:szCs w:val="21"/>
          <w:lang w:val="de-DE"/>
        </w:rPr>
        <w:t>，应</w:t>
      </w:r>
      <w:r>
        <w:rPr>
          <w:rFonts w:hint="eastAsia" w:ascii="宋体" w:hAnsi="宋体"/>
          <w:szCs w:val="21"/>
          <w:lang w:val="en-US" w:eastAsia="zh-CN"/>
        </w:rPr>
        <w:t>在现场</w:t>
      </w:r>
      <w:r>
        <w:rPr>
          <w:rFonts w:hint="eastAsia" w:ascii="宋体" w:hAnsi="宋体"/>
          <w:szCs w:val="21"/>
          <w:lang w:val="de-DE"/>
        </w:rPr>
        <w:t>审核时间与总审核时间</w:t>
      </w:r>
      <w:r>
        <w:rPr>
          <w:rFonts w:hint="eastAsia" w:ascii="宋体" w:hAnsi="宋体"/>
          <w:szCs w:val="21"/>
          <w:lang w:val="de-DE" w:eastAsia="zh-CN"/>
        </w:rPr>
        <w:t>的</w:t>
      </w:r>
      <w:r>
        <w:rPr>
          <w:rFonts w:hint="eastAsia" w:ascii="宋体" w:hAnsi="宋体"/>
          <w:szCs w:val="21"/>
          <w:lang w:val="de-DE"/>
        </w:rPr>
        <w:t>比较</w:t>
      </w:r>
      <w:r>
        <w:rPr>
          <w:rFonts w:hint="eastAsia" w:ascii="宋体" w:hAnsi="宋体"/>
          <w:szCs w:val="21"/>
          <w:lang w:val="en-US" w:eastAsia="zh-CN"/>
        </w:rPr>
        <w:t>之前进行</w:t>
      </w:r>
      <w:r>
        <w:rPr>
          <w:rFonts w:hint="eastAsia" w:ascii="宋体" w:hAnsi="宋体"/>
          <w:szCs w:val="21"/>
          <w:lang w:val="de-DE"/>
        </w:rPr>
        <w:t>。</w:t>
      </w:r>
    </w:p>
    <w:p w14:paraId="4A8C997E">
      <w:pPr>
        <w:pStyle w:val="70"/>
        <w:numPr>
          <w:ilvl w:val="0"/>
          <w:numId w:val="0"/>
        </w:numPr>
        <w:spacing w:before="156" w:after="156"/>
        <w:rPr>
          <w:rFonts w:hint="eastAsia" w:ascii="黑体" w:hAnsi="黑体"/>
          <w:szCs w:val="21"/>
          <w:highlight w:val="none"/>
          <w:lang w:val="de-DE"/>
        </w:rPr>
      </w:pPr>
      <w:r>
        <w:rPr>
          <w:rFonts w:hint="eastAsia" w:ascii="黑体" w:hAnsi="黑体"/>
          <w:szCs w:val="21"/>
          <w:highlight w:val="none"/>
          <w:lang w:val="de-DE"/>
        </w:rPr>
        <w:t>C</w:t>
      </w:r>
      <w:r>
        <w:rPr>
          <w:rFonts w:hint="eastAsia" w:hAnsi="黑体"/>
          <w:szCs w:val="21"/>
          <w:highlight w:val="none"/>
          <w:lang w:val="en-US" w:eastAsia="zh-CN"/>
        </w:rPr>
        <w:t>.</w:t>
      </w:r>
      <w:r>
        <w:rPr>
          <w:rFonts w:hint="eastAsia" w:ascii="黑体" w:hAnsi="黑体"/>
          <w:szCs w:val="21"/>
          <w:highlight w:val="none"/>
          <w:lang w:val="de-DE"/>
        </w:rPr>
        <w:t xml:space="preserve">7 </w:t>
      </w:r>
      <w:r>
        <w:rPr>
          <w:rFonts w:hint="eastAsia" w:hAnsi="黑体"/>
          <w:szCs w:val="21"/>
          <w:highlight w:val="none"/>
          <w:lang w:val="de-DE" w:eastAsia="zh-CN"/>
        </w:rPr>
        <w:t xml:space="preserve"> </w:t>
      </w:r>
      <w:r>
        <w:rPr>
          <w:rFonts w:hint="eastAsia" w:ascii="黑体" w:hAnsi="黑体"/>
          <w:szCs w:val="21"/>
          <w:highlight w:val="none"/>
          <w:lang w:val="de-DE"/>
        </w:rPr>
        <w:t>扩大认证范围的审核时间</w:t>
      </w:r>
    </w:p>
    <w:p w14:paraId="04FA9F2C">
      <w:pPr>
        <w:ind w:left="105" w:leftChars="50" w:firstLine="315" w:firstLineChars="150"/>
        <w:rPr>
          <w:rFonts w:ascii="宋体" w:hAnsi="宋体"/>
          <w:szCs w:val="21"/>
          <w:lang w:val="de-DE"/>
        </w:rPr>
      </w:pPr>
      <w:r>
        <w:rPr>
          <w:rFonts w:hint="eastAsia" w:ascii="宋体" w:hAnsi="宋体"/>
          <w:szCs w:val="21"/>
          <w:lang w:val="de-DE"/>
        </w:rPr>
        <w:t>扩大ISMS范围所需的审核时间应考虑以下因素:</w:t>
      </w:r>
    </w:p>
    <w:p w14:paraId="62C1E5B3">
      <w:pPr>
        <w:numPr>
          <w:ilvl w:val="1"/>
          <w:numId w:val="46"/>
        </w:numPr>
        <w:ind w:left="782" w:leftChars="0" w:hanging="357" w:firstLineChars="0"/>
        <w:rPr>
          <w:rFonts w:hint="eastAsia" w:ascii="宋体" w:hAnsi="宋体"/>
          <w:szCs w:val="21"/>
          <w:lang w:val="de-DE"/>
        </w:rPr>
      </w:pPr>
      <w:r>
        <w:rPr>
          <w:rFonts w:hint="eastAsia" w:ascii="宋体" w:hAnsi="宋体"/>
          <w:szCs w:val="21"/>
          <w:lang w:val="de-DE"/>
        </w:rPr>
        <w:t>扩大的类型；</w:t>
      </w:r>
    </w:p>
    <w:p w14:paraId="5BC1BAC6">
      <w:pPr>
        <w:numPr>
          <w:ilvl w:val="1"/>
          <w:numId w:val="46"/>
        </w:numPr>
        <w:ind w:left="782" w:leftChars="0" w:hanging="357" w:firstLineChars="0"/>
        <w:rPr>
          <w:rFonts w:hint="eastAsia" w:ascii="宋体" w:hAnsi="宋体"/>
          <w:szCs w:val="21"/>
          <w:lang w:val="de-DE"/>
        </w:rPr>
      </w:pPr>
      <w:r>
        <w:rPr>
          <w:rFonts w:hint="eastAsia" w:ascii="宋体" w:hAnsi="宋体"/>
          <w:szCs w:val="21"/>
          <w:lang w:val="de-DE"/>
        </w:rPr>
        <w:t>当前</w:t>
      </w:r>
      <w:r>
        <w:rPr>
          <w:rFonts w:hint="eastAsia" w:ascii="宋体" w:hAnsi="宋体"/>
          <w:szCs w:val="21"/>
          <w:lang w:val="de-DE" w:eastAsia="zh-CN"/>
        </w:rPr>
        <w:t>的</w:t>
      </w:r>
      <w:r>
        <w:rPr>
          <w:rFonts w:hint="eastAsia" w:ascii="宋体" w:hAnsi="宋体"/>
          <w:szCs w:val="21"/>
          <w:lang w:val="de-DE"/>
        </w:rPr>
        <w:t>认证活动</w:t>
      </w:r>
      <w:r>
        <w:rPr>
          <w:rFonts w:hint="eastAsia" w:ascii="宋体" w:hAnsi="宋体"/>
          <w:szCs w:val="21"/>
          <w:lang w:val="de-DE" w:eastAsia="zh-CN"/>
        </w:rPr>
        <w:t>；</w:t>
      </w:r>
    </w:p>
    <w:p w14:paraId="1DF3C253">
      <w:pPr>
        <w:numPr>
          <w:ilvl w:val="1"/>
          <w:numId w:val="46"/>
        </w:numPr>
        <w:ind w:left="782" w:leftChars="0" w:hanging="357" w:firstLineChars="0"/>
        <w:rPr>
          <w:rFonts w:hint="eastAsia" w:ascii="宋体" w:hAnsi="宋体"/>
          <w:szCs w:val="21"/>
          <w:lang w:val="de-DE"/>
        </w:rPr>
      </w:pPr>
      <w:r>
        <w:rPr>
          <w:rFonts w:hint="eastAsia" w:ascii="宋体" w:hAnsi="宋体"/>
          <w:szCs w:val="21"/>
          <w:lang w:val="de-DE"/>
        </w:rPr>
        <w:t>开展活动的地点</w:t>
      </w:r>
      <w:r>
        <w:rPr>
          <w:rFonts w:hint="eastAsia" w:ascii="宋体" w:hAnsi="宋体"/>
          <w:szCs w:val="21"/>
          <w:lang w:val="de-DE" w:eastAsia="zh-CN"/>
        </w:rPr>
        <w:t>的</w:t>
      </w:r>
      <w:r>
        <w:rPr>
          <w:rFonts w:hint="eastAsia" w:ascii="宋体" w:hAnsi="宋体"/>
          <w:szCs w:val="21"/>
          <w:lang w:val="de-DE"/>
        </w:rPr>
        <w:t>数量；</w:t>
      </w:r>
    </w:p>
    <w:p w14:paraId="69767D1D">
      <w:pPr>
        <w:numPr>
          <w:ilvl w:val="1"/>
          <w:numId w:val="46"/>
        </w:numPr>
        <w:ind w:left="782" w:leftChars="0" w:hanging="357" w:firstLineChars="0"/>
        <w:rPr>
          <w:rFonts w:hint="eastAsia" w:ascii="宋体" w:hAnsi="宋体"/>
          <w:szCs w:val="21"/>
          <w:lang w:val="de-DE"/>
        </w:rPr>
      </w:pPr>
      <w:r>
        <w:rPr>
          <w:rFonts w:hint="eastAsia" w:ascii="宋体" w:hAnsi="宋体"/>
          <w:szCs w:val="21"/>
          <w:lang w:val="en-US" w:eastAsia="zh-CN"/>
        </w:rPr>
        <w:t>与</w:t>
      </w:r>
      <w:r>
        <w:rPr>
          <w:rFonts w:hint="eastAsia" w:ascii="宋体" w:hAnsi="宋体"/>
          <w:szCs w:val="21"/>
          <w:lang w:val="de-DE"/>
        </w:rPr>
        <w:t>活动相关的信息安全风险</w:t>
      </w:r>
      <w:r>
        <w:rPr>
          <w:rFonts w:hint="eastAsia" w:ascii="宋体" w:hAnsi="宋体"/>
          <w:szCs w:val="21"/>
          <w:lang w:val="de-DE" w:eastAsia="zh-CN"/>
        </w:rPr>
        <w:t>；</w:t>
      </w:r>
    </w:p>
    <w:p w14:paraId="024A56E7">
      <w:pPr>
        <w:numPr>
          <w:ilvl w:val="1"/>
          <w:numId w:val="46"/>
        </w:numPr>
        <w:ind w:left="782" w:leftChars="0" w:hanging="357" w:firstLineChars="0"/>
        <w:rPr>
          <w:rFonts w:hint="eastAsia" w:ascii="宋体" w:hAnsi="宋体"/>
          <w:szCs w:val="21"/>
          <w:lang w:val="de-DE"/>
        </w:rPr>
      </w:pPr>
      <w:r>
        <w:rPr>
          <w:rFonts w:hint="eastAsia" w:ascii="宋体" w:hAnsi="宋体"/>
          <w:szCs w:val="21"/>
          <w:lang w:val="de-DE"/>
        </w:rPr>
        <w:t>与</w:t>
      </w:r>
      <w:r>
        <w:rPr>
          <w:rFonts w:hint="eastAsia" w:ascii="宋体" w:hAnsi="宋体"/>
          <w:szCs w:val="21"/>
          <w:lang w:val="en-US" w:eastAsia="zh-CN"/>
        </w:rPr>
        <w:t>所扩范围</w:t>
      </w:r>
      <w:r>
        <w:rPr>
          <w:rFonts w:hint="eastAsia" w:ascii="宋体" w:hAnsi="宋体"/>
          <w:szCs w:val="21"/>
          <w:lang w:val="de-DE"/>
        </w:rPr>
        <w:t>相关的控制</w:t>
      </w:r>
      <w:r>
        <w:rPr>
          <w:rFonts w:hint="eastAsia" w:ascii="宋体" w:hAnsi="宋体"/>
          <w:szCs w:val="21"/>
          <w:lang w:val="de-DE" w:eastAsia="zh-CN"/>
        </w:rPr>
        <w:t>的</w:t>
      </w:r>
      <w:r>
        <w:rPr>
          <w:rFonts w:hint="eastAsia" w:ascii="宋体" w:hAnsi="宋体"/>
          <w:szCs w:val="21"/>
          <w:lang w:val="de-DE"/>
        </w:rPr>
        <w:t>数量</w:t>
      </w:r>
      <w:r>
        <w:rPr>
          <w:rFonts w:hint="eastAsia" w:ascii="宋体" w:hAnsi="宋体"/>
          <w:szCs w:val="21"/>
          <w:lang w:val="de-DE" w:eastAsia="zh-CN"/>
        </w:rPr>
        <w:t>；</w:t>
      </w:r>
    </w:p>
    <w:p w14:paraId="3EC5B0EF">
      <w:pPr>
        <w:numPr>
          <w:ilvl w:val="1"/>
          <w:numId w:val="46"/>
        </w:numPr>
        <w:ind w:left="782" w:leftChars="0" w:hanging="357" w:firstLineChars="0"/>
        <w:rPr>
          <w:rFonts w:hint="eastAsia" w:ascii="宋体" w:hAnsi="宋体"/>
          <w:szCs w:val="21"/>
          <w:lang w:val="de-DE"/>
        </w:rPr>
      </w:pPr>
      <w:r>
        <w:rPr>
          <w:rFonts w:hint="eastAsia" w:ascii="宋体" w:hAnsi="宋体"/>
          <w:szCs w:val="21"/>
          <w:lang w:val="en-US" w:eastAsia="zh-CN"/>
        </w:rPr>
        <w:t>所扩</w:t>
      </w:r>
      <w:r>
        <w:rPr>
          <w:rFonts w:hint="eastAsia" w:ascii="宋体" w:hAnsi="宋体"/>
          <w:szCs w:val="21"/>
          <w:lang w:val="de-DE"/>
        </w:rPr>
        <w:t>范围内</w:t>
      </w:r>
      <w:r>
        <w:rPr>
          <w:rFonts w:hint="eastAsia" w:ascii="宋体" w:hAnsi="宋体"/>
          <w:szCs w:val="21"/>
          <w:lang w:val="de-DE" w:eastAsia="zh-CN"/>
        </w:rPr>
        <w:t>、</w:t>
      </w:r>
      <w:r>
        <w:rPr>
          <w:rFonts w:hint="eastAsia" w:ascii="宋体" w:hAnsi="宋体"/>
          <w:szCs w:val="21"/>
          <w:lang w:val="en-US" w:eastAsia="zh-CN"/>
        </w:rPr>
        <w:t>在</w:t>
      </w:r>
      <w:r>
        <w:rPr>
          <w:rFonts w:hint="eastAsia" w:ascii="宋体" w:hAnsi="宋体"/>
          <w:szCs w:val="21"/>
          <w:lang w:val="de-DE"/>
        </w:rPr>
        <w:t>组织控制下工作的人数</w:t>
      </w:r>
      <w:r>
        <w:rPr>
          <w:rFonts w:hint="eastAsia" w:ascii="宋体" w:hAnsi="宋体"/>
          <w:szCs w:val="21"/>
          <w:lang w:val="de-DE" w:eastAsia="zh-CN"/>
        </w:rPr>
        <w:t>；</w:t>
      </w:r>
    </w:p>
    <w:p w14:paraId="08E4223F">
      <w:pPr>
        <w:numPr>
          <w:ilvl w:val="1"/>
          <w:numId w:val="46"/>
        </w:numPr>
        <w:ind w:left="782" w:leftChars="0" w:hanging="357" w:firstLineChars="0"/>
        <w:rPr>
          <w:rFonts w:hint="eastAsia" w:ascii="宋体" w:hAnsi="宋体"/>
          <w:szCs w:val="21"/>
          <w:lang w:val="de-DE"/>
        </w:rPr>
      </w:pPr>
      <w:r>
        <w:rPr>
          <w:rFonts w:hint="eastAsia" w:ascii="宋体" w:hAnsi="宋体"/>
          <w:szCs w:val="21"/>
          <w:lang w:val="en-US" w:eastAsia="zh-CN"/>
        </w:rPr>
        <w:t>在审核客户</w:t>
      </w:r>
      <w:r>
        <w:rPr>
          <w:rFonts w:hint="eastAsia" w:ascii="宋体" w:hAnsi="宋体"/>
          <w:szCs w:val="21"/>
          <w:lang w:val="de-DE"/>
        </w:rPr>
        <w:t>将</w:t>
      </w:r>
      <w:r>
        <w:rPr>
          <w:rFonts w:hint="eastAsia" w:ascii="宋体" w:hAnsi="宋体"/>
          <w:szCs w:val="21"/>
          <w:lang w:val="en-US" w:eastAsia="zh-CN"/>
        </w:rPr>
        <w:t>所扩</w:t>
      </w:r>
      <w:r>
        <w:rPr>
          <w:rFonts w:hint="eastAsia" w:ascii="宋体" w:hAnsi="宋体"/>
          <w:szCs w:val="21"/>
          <w:lang w:val="de-DE"/>
        </w:rPr>
        <w:t>范围</w:t>
      </w:r>
      <w:r>
        <w:rPr>
          <w:rFonts w:hint="eastAsia" w:ascii="宋体" w:hAnsi="宋体"/>
          <w:szCs w:val="21"/>
          <w:lang w:val="en-US" w:eastAsia="zh-CN"/>
        </w:rPr>
        <w:t>整合到</w:t>
      </w:r>
      <w:r>
        <w:rPr>
          <w:rFonts w:hint="eastAsia" w:ascii="宋体" w:hAnsi="宋体"/>
          <w:szCs w:val="21"/>
          <w:lang w:val="de-DE"/>
        </w:rPr>
        <w:t>ISMS</w:t>
      </w:r>
      <w:r>
        <w:rPr>
          <w:rFonts w:hint="eastAsia" w:ascii="宋体" w:hAnsi="宋体"/>
          <w:szCs w:val="21"/>
          <w:lang w:val="en-US" w:eastAsia="zh-CN"/>
        </w:rPr>
        <w:t>时，所需的审核</w:t>
      </w:r>
      <w:r>
        <w:rPr>
          <w:rFonts w:hint="eastAsia" w:ascii="宋体" w:hAnsi="宋体"/>
          <w:szCs w:val="21"/>
          <w:lang w:val="de-DE"/>
        </w:rPr>
        <w:t>时间。</w:t>
      </w:r>
    </w:p>
    <w:p w14:paraId="5E2AEFFE">
      <w:pPr>
        <w:ind w:left="105" w:leftChars="50" w:firstLine="315" w:firstLineChars="150"/>
        <w:rPr>
          <w:rFonts w:ascii="宋体" w:hAnsi="宋体"/>
          <w:szCs w:val="21"/>
          <w:lang w:val="de-DE"/>
        </w:rPr>
      </w:pPr>
      <w:r>
        <w:rPr>
          <w:rFonts w:hint="eastAsia" w:ascii="宋体" w:hAnsi="宋体"/>
          <w:szCs w:val="21"/>
          <w:lang w:val="de-DE"/>
        </w:rPr>
        <w:t>认证机构应</w:t>
      </w:r>
      <w:r>
        <w:rPr>
          <w:rFonts w:hint="eastAsia" w:ascii="宋体" w:hAnsi="宋体"/>
          <w:szCs w:val="21"/>
          <w:lang w:val="en-US" w:eastAsia="zh-CN"/>
        </w:rPr>
        <w:t>制定</w:t>
      </w:r>
      <w:r>
        <w:rPr>
          <w:rFonts w:hint="eastAsia" w:ascii="宋体" w:hAnsi="宋体"/>
          <w:szCs w:val="21"/>
          <w:lang w:val="de-DE"/>
        </w:rPr>
        <w:t>程序，为扩大范围</w:t>
      </w:r>
      <w:r>
        <w:rPr>
          <w:rFonts w:hint="eastAsia" w:ascii="宋体" w:hAnsi="宋体"/>
          <w:szCs w:val="21"/>
          <w:lang w:val="de-DE" w:eastAsia="zh-CN"/>
        </w:rPr>
        <w:t>的</w:t>
      </w:r>
      <w:r>
        <w:rPr>
          <w:rFonts w:hint="eastAsia" w:ascii="宋体" w:hAnsi="宋体"/>
          <w:szCs w:val="21"/>
          <w:lang w:val="en-US" w:eastAsia="zh-CN"/>
        </w:rPr>
        <w:t>审核时间计算</w:t>
      </w:r>
      <w:r>
        <w:rPr>
          <w:rFonts w:hint="eastAsia" w:ascii="宋体" w:hAnsi="宋体"/>
          <w:szCs w:val="21"/>
          <w:lang w:val="de-DE"/>
        </w:rPr>
        <w:t>提供一致的方法。</w:t>
      </w:r>
    </w:p>
    <w:p w14:paraId="15D5C81D">
      <w:pPr>
        <w:ind w:left="105" w:leftChars="50" w:firstLine="315" w:firstLineChars="150"/>
        <w:rPr>
          <w:rFonts w:ascii="宋体" w:hAnsi="宋体"/>
          <w:szCs w:val="21"/>
          <w:lang w:val="de-DE"/>
        </w:rPr>
      </w:pPr>
      <w:r>
        <w:rPr>
          <w:rFonts w:hint="eastAsia" w:ascii="宋体" w:hAnsi="宋体"/>
          <w:szCs w:val="21"/>
          <w:lang w:val="de-DE"/>
        </w:rPr>
        <w:t>对于</w:t>
      </w:r>
      <w:r>
        <w:rPr>
          <w:rFonts w:hint="eastAsia" w:ascii="宋体" w:hAnsi="宋体"/>
          <w:szCs w:val="21"/>
          <w:lang w:val="en-US" w:eastAsia="zh-CN"/>
        </w:rPr>
        <w:t>所扩</w:t>
      </w:r>
      <w:r>
        <w:rPr>
          <w:rFonts w:hint="eastAsia" w:ascii="宋体" w:hAnsi="宋体"/>
          <w:szCs w:val="21"/>
          <w:lang w:val="de-DE"/>
        </w:rPr>
        <w:t>范围的初次审核，</w:t>
      </w:r>
      <w:r>
        <w:rPr>
          <w:rFonts w:hint="eastAsia" w:ascii="宋体" w:hAnsi="宋体"/>
          <w:szCs w:val="21"/>
          <w:lang w:val="en-US" w:eastAsia="zh-CN"/>
        </w:rPr>
        <w:t>审核</w:t>
      </w:r>
      <w:r>
        <w:rPr>
          <w:rFonts w:hint="eastAsia" w:ascii="宋体" w:hAnsi="宋体"/>
          <w:szCs w:val="21"/>
          <w:lang w:val="de-DE"/>
        </w:rPr>
        <w:t>时间应根据在</w:t>
      </w:r>
      <w:r>
        <w:rPr>
          <w:rFonts w:hint="eastAsia" w:ascii="宋体" w:hAnsi="宋体"/>
          <w:szCs w:val="21"/>
          <w:lang w:val="en-US" w:eastAsia="zh-CN"/>
        </w:rPr>
        <w:t>当前认证</w:t>
      </w:r>
      <w:r>
        <w:rPr>
          <w:rFonts w:hint="eastAsia" w:ascii="宋体" w:hAnsi="宋体"/>
          <w:szCs w:val="21"/>
          <w:lang w:val="de-DE"/>
        </w:rPr>
        <w:t>范围内增加的人员和场地的数量</w:t>
      </w:r>
      <w:r>
        <w:rPr>
          <w:rFonts w:hint="eastAsia" w:ascii="宋体" w:hAnsi="宋体"/>
          <w:szCs w:val="21"/>
          <w:lang w:val="de-DE" w:eastAsia="zh-CN"/>
        </w:rPr>
        <w:t>，</w:t>
      </w:r>
      <w:r>
        <w:rPr>
          <w:rFonts w:hint="eastAsia" w:ascii="宋体" w:hAnsi="宋体"/>
          <w:szCs w:val="21"/>
          <w:lang w:val="de-DE"/>
        </w:rPr>
        <w:t>使用C.3.3、C.3.4和C.3.5</w:t>
      </w:r>
      <w:r>
        <w:rPr>
          <w:rFonts w:hint="eastAsia" w:ascii="宋体" w:hAnsi="宋体"/>
          <w:szCs w:val="21"/>
          <w:lang w:val="en-US" w:eastAsia="zh-CN"/>
        </w:rPr>
        <w:t>所述的方法</w:t>
      </w:r>
      <w:r>
        <w:rPr>
          <w:rFonts w:hint="eastAsia" w:ascii="宋体" w:hAnsi="宋体"/>
          <w:szCs w:val="21"/>
          <w:lang w:val="de-DE"/>
        </w:rPr>
        <w:t>来计算。</w:t>
      </w:r>
    </w:p>
    <w:p w14:paraId="4FF21C2A">
      <w:pPr>
        <w:numPr>
          <w:ilvl w:val="-1"/>
          <w:numId w:val="0"/>
        </w:numPr>
        <w:ind w:left="105" w:leftChars="50" w:firstLine="315" w:firstLineChars="150"/>
        <w:rPr>
          <w:rFonts w:ascii="宋体" w:hAnsi="宋体"/>
          <w:szCs w:val="21"/>
          <w:lang w:val="de-DE"/>
        </w:rPr>
      </w:pPr>
      <w:r>
        <w:rPr>
          <w:rFonts w:hint="eastAsia" w:ascii="宋体" w:hAnsi="宋体"/>
          <w:szCs w:val="21"/>
          <w:lang w:val="en-US" w:eastAsia="zh-CN"/>
        </w:rPr>
        <w:t>扩大ISMS范围所需的</w:t>
      </w:r>
      <w:r>
        <w:rPr>
          <w:rFonts w:hint="eastAsia" w:ascii="宋体" w:hAnsi="宋体"/>
          <w:szCs w:val="21"/>
          <w:lang w:val="de-DE"/>
        </w:rPr>
        <w:t>审核时间</w:t>
      </w:r>
      <w:r>
        <w:rPr>
          <w:rFonts w:hint="eastAsia" w:ascii="宋体" w:hAnsi="宋体"/>
          <w:szCs w:val="21"/>
          <w:lang w:val="de-DE" w:eastAsia="zh-CN"/>
        </w:rPr>
        <w:t>，</w:t>
      </w:r>
      <w:r>
        <w:rPr>
          <w:rFonts w:hint="eastAsia" w:ascii="宋体" w:hAnsi="宋体"/>
          <w:szCs w:val="21"/>
          <w:lang w:val="de-DE"/>
        </w:rPr>
        <w:t>应</w:t>
      </w:r>
      <w:r>
        <w:rPr>
          <w:rFonts w:hint="eastAsia" w:ascii="宋体" w:hAnsi="宋体"/>
          <w:szCs w:val="21"/>
          <w:lang w:val="en-US" w:eastAsia="zh-CN"/>
        </w:rPr>
        <w:t>增加到审核</w:t>
      </w:r>
      <w:r>
        <w:rPr>
          <w:rFonts w:hint="eastAsia" w:ascii="宋体" w:hAnsi="宋体"/>
          <w:szCs w:val="21"/>
          <w:lang w:val="de-DE"/>
        </w:rPr>
        <w:t>客户</w:t>
      </w:r>
      <w:r>
        <w:rPr>
          <w:rFonts w:hint="eastAsia" w:ascii="宋体" w:hAnsi="宋体"/>
          <w:szCs w:val="21"/>
          <w:lang w:val="en-US" w:eastAsia="zh-CN"/>
        </w:rPr>
        <w:t>获证</w:t>
      </w:r>
      <w:r>
        <w:rPr>
          <w:rFonts w:hint="eastAsia" w:ascii="宋体" w:hAnsi="宋体"/>
          <w:szCs w:val="21"/>
          <w:lang w:val="de-DE"/>
        </w:rPr>
        <w:t>ISMS</w:t>
      </w:r>
      <w:r>
        <w:rPr>
          <w:rFonts w:hint="eastAsia" w:ascii="宋体" w:hAnsi="宋体"/>
          <w:szCs w:val="21"/>
          <w:lang w:val="en-US" w:eastAsia="zh-CN"/>
        </w:rPr>
        <w:t>所需</w:t>
      </w:r>
      <w:r>
        <w:rPr>
          <w:rFonts w:hint="eastAsia" w:ascii="宋体" w:hAnsi="宋体"/>
          <w:szCs w:val="21"/>
          <w:lang w:val="de-DE"/>
        </w:rPr>
        <w:t>的审核时间</w:t>
      </w:r>
      <w:r>
        <w:rPr>
          <w:rFonts w:hint="eastAsia" w:ascii="宋体" w:hAnsi="宋体"/>
          <w:szCs w:val="21"/>
          <w:lang w:val="en-US" w:eastAsia="zh-CN"/>
        </w:rPr>
        <w:t>中</w:t>
      </w:r>
      <w:r>
        <w:rPr>
          <w:rFonts w:hint="eastAsia" w:ascii="宋体" w:hAnsi="宋体"/>
          <w:szCs w:val="21"/>
          <w:lang w:val="de-DE"/>
        </w:rPr>
        <w:t>。</w:t>
      </w:r>
      <w:r>
        <w:rPr>
          <w:rFonts w:hint="eastAsia" w:ascii="宋体" w:hAnsi="宋体"/>
          <w:szCs w:val="21"/>
          <w:lang w:val="en-US" w:eastAsia="zh-CN"/>
        </w:rPr>
        <w:t>当</w:t>
      </w:r>
      <w:r>
        <w:rPr>
          <w:rFonts w:hint="eastAsia" w:ascii="宋体" w:hAnsi="宋体"/>
          <w:szCs w:val="21"/>
          <w:lang w:val="de-DE"/>
        </w:rPr>
        <w:t>扩大范围审核</w:t>
      </w:r>
      <w:r>
        <w:rPr>
          <w:rFonts w:hint="eastAsia" w:ascii="宋体" w:hAnsi="宋体"/>
          <w:szCs w:val="21"/>
          <w:lang w:val="en-US" w:eastAsia="zh-CN"/>
        </w:rPr>
        <w:t>是</w:t>
      </w:r>
      <w:r>
        <w:rPr>
          <w:rFonts w:hint="eastAsia" w:ascii="宋体" w:hAnsi="宋体"/>
          <w:szCs w:val="21"/>
          <w:lang w:val="de-DE"/>
        </w:rPr>
        <w:t>结合监督审核或再认证审核进行</w:t>
      </w:r>
      <w:r>
        <w:rPr>
          <w:rFonts w:hint="eastAsia" w:ascii="宋体" w:hAnsi="宋体"/>
          <w:szCs w:val="21"/>
          <w:lang w:val="en-US" w:eastAsia="zh-CN"/>
        </w:rPr>
        <w:t>时，应</w:t>
      </w:r>
      <w:r>
        <w:rPr>
          <w:rFonts w:hint="eastAsia" w:ascii="宋体" w:hAnsi="宋体"/>
          <w:szCs w:val="21"/>
          <w:lang w:val="de-DE"/>
        </w:rPr>
        <w:t>至少</w:t>
      </w:r>
      <w:r>
        <w:rPr>
          <w:rFonts w:hint="eastAsia" w:ascii="宋体" w:hAnsi="宋体"/>
          <w:szCs w:val="21"/>
          <w:lang w:val="en-US" w:eastAsia="zh-CN"/>
        </w:rPr>
        <w:t>增加</w:t>
      </w:r>
      <w:r>
        <w:rPr>
          <w:rFonts w:hint="eastAsia" w:ascii="宋体" w:hAnsi="宋体"/>
          <w:szCs w:val="21"/>
          <w:lang w:val="de-DE"/>
        </w:rPr>
        <w:t>为0.5天(审核人日)</w:t>
      </w:r>
      <w:r>
        <w:rPr>
          <w:rFonts w:hint="eastAsia" w:ascii="宋体" w:hAnsi="宋体"/>
          <w:szCs w:val="21"/>
          <w:lang w:val="de-DE" w:eastAsia="zh-CN"/>
        </w:rPr>
        <w:t>；</w:t>
      </w:r>
      <w:r>
        <w:rPr>
          <w:rFonts w:hint="eastAsia" w:ascii="宋体" w:hAnsi="宋体"/>
          <w:szCs w:val="21"/>
          <w:lang w:val="en-US" w:eastAsia="zh-CN"/>
        </w:rPr>
        <w:t>当</w:t>
      </w:r>
      <w:r>
        <w:rPr>
          <w:rFonts w:hint="eastAsia" w:ascii="宋体" w:hAnsi="宋体"/>
          <w:szCs w:val="21"/>
          <w:lang w:val="de-DE"/>
        </w:rPr>
        <w:t>扩大范围审核</w:t>
      </w:r>
      <w:r>
        <w:rPr>
          <w:rFonts w:hint="eastAsia" w:ascii="宋体" w:hAnsi="宋体"/>
          <w:szCs w:val="21"/>
          <w:lang w:val="en-US" w:eastAsia="zh-CN"/>
        </w:rPr>
        <w:t>是单独</w:t>
      </w:r>
      <w:r>
        <w:rPr>
          <w:rFonts w:hint="eastAsia" w:ascii="宋体" w:hAnsi="宋体"/>
          <w:szCs w:val="21"/>
          <w:lang w:val="de-DE"/>
        </w:rPr>
        <w:t>进行</w:t>
      </w:r>
      <w:r>
        <w:rPr>
          <w:rFonts w:hint="eastAsia" w:ascii="宋体" w:hAnsi="宋体"/>
          <w:szCs w:val="21"/>
          <w:lang w:val="en-US" w:eastAsia="zh-CN"/>
        </w:rPr>
        <w:t>时，相应</w:t>
      </w:r>
      <w:r>
        <w:rPr>
          <w:rFonts w:hint="eastAsia" w:ascii="宋体" w:hAnsi="宋体"/>
          <w:szCs w:val="21"/>
          <w:lang w:val="de-DE"/>
        </w:rPr>
        <w:t>的时间</w:t>
      </w:r>
      <w:r>
        <w:rPr>
          <w:rFonts w:hint="eastAsia" w:ascii="宋体" w:hAnsi="宋体"/>
          <w:szCs w:val="21"/>
          <w:lang w:val="en-US" w:eastAsia="zh-CN"/>
        </w:rPr>
        <w:t>应</w:t>
      </w:r>
      <w:r>
        <w:rPr>
          <w:rFonts w:hint="eastAsia" w:ascii="宋体" w:hAnsi="宋体"/>
          <w:szCs w:val="21"/>
          <w:lang w:val="de-DE"/>
        </w:rPr>
        <w:t>至少为1.0天(审核人日)。</w:t>
      </w:r>
    </w:p>
    <w:p w14:paraId="62C0E317">
      <w:pPr>
        <w:ind w:firstLine="0" w:firstLineChars="0"/>
        <w:rPr>
          <w:rFonts w:ascii="宋体" w:hAnsi="宋体"/>
          <w:szCs w:val="21"/>
          <w:lang w:val="de-DE"/>
        </w:rPr>
      </w:pPr>
    </w:p>
    <w:p w14:paraId="3FE5B9D5">
      <w:pPr>
        <w:pStyle w:val="139"/>
        <w:keepNext w:val="0"/>
        <w:pageBreakBefore w:val="0"/>
        <w:numPr>
          <w:ilvl w:val="0"/>
          <w:numId w:val="19"/>
        </w:numPr>
        <w:spacing w:before="0" w:after="0"/>
        <w:rPr>
          <w:rFonts w:hAnsi="黑体"/>
          <w:sz w:val="21"/>
          <w:szCs w:val="21"/>
        </w:rPr>
      </w:pPr>
      <w:r>
        <w:rPr>
          <w:rFonts w:ascii="宋体" w:hAnsi="宋体" w:eastAsia="宋体"/>
          <w:sz w:val="21"/>
          <w:szCs w:val="21"/>
        </w:rPr>
        <w:br w:type="page"/>
      </w:r>
      <w:bookmarkStart w:id="343" w:name="_Toc26954"/>
      <w:bookmarkStart w:id="344" w:name="_Toc1734"/>
      <w:bookmarkStart w:id="345" w:name="_Toc496168594"/>
      <w:bookmarkStart w:id="346" w:name="_Toc434010486"/>
      <w:r>
        <w:rPr>
          <w:rFonts w:hAnsi="黑体"/>
          <w:sz w:val="21"/>
          <w:szCs w:val="21"/>
        </w:rPr>
        <w:t>附录</w:t>
      </w:r>
      <w:r>
        <w:rPr>
          <w:rFonts w:hint="eastAsia" w:hAnsi="黑体"/>
          <w:sz w:val="21"/>
          <w:szCs w:val="21"/>
        </w:rPr>
        <w:t>D</w:t>
      </w:r>
      <w:bookmarkEnd w:id="343"/>
      <w:bookmarkEnd w:id="344"/>
      <w:bookmarkEnd w:id="345"/>
    </w:p>
    <w:p w14:paraId="4716DDCE">
      <w:pPr>
        <w:pStyle w:val="139"/>
        <w:keepNext w:val="0"/>
        <w:pageBreakBefore w:val="0"/>
        <w:numPr>
          <w:ilvl w:val="0"/>
          <w:numId w:val="19"/>
        </w:numPr>
        <w:spacing w:before="0" w:after="0" w:line="300" w:lineRule="auto"/>
        <w:rPr>
          <w:rFonts w:hAnsi="黑体"/>
          <w:sz w:val="21"/>
          <w:szCs w:val="21"/>
        </w:rPr>
      </w:pPr>
      <w:bookmarkStart w:id="347" w:name="_Toc13672"/>
      <w:bookmarkStart w:id="348" w:name="_Toc496168595"/>
      <w:bookmarkStart w:id="349" w:name="_Toc1965"/>
      <w:r>
        <w:rPr>
          <w:rFonts w:hint="eastAsia" w:hAnsi="黑体"/>
          <w:sz w:val="21"/>
          <w:szCs w:val="21"/>
        </w:rPr>
        <w:t>（资料性）</w:t>
      </w:r>
      <w:bookmarkEnd w:id="346"/>
      <w:bookmarkEnd w:id="347"/>
      <w:bookmarkEnd w:id="348"/>
      <w:bookmarkEnd w:id="349"/>
    </w:p>
    <w:p w14:paraId="4AD2E423">
      <w:pPr>
        <w:pStyle w:val="139"/>
        <w:keepNext w:val="0"/>
        <w:pageBreakBefore w:val="0"/>
        <w:numPr>
          <w:ilvl w:val="0"/>
          <w:numId w:val="19"/>
        </w:numPr>
        <w:spacing w:before="0" w:after="0" w:line="300" w:lineRule="auto"/>
        <w:rPr>
          <w:rFonts w:hAnsi="黑体"/>
          <w:sz w:val="21"/>
          <w:szCs w:val="21"/>
        </w:rPr>
      </w:pPr>
      <w:bookmarkStart w:id="350" w:name="_Toc27098"/>
      <w:bookmarkStart w:id="351" w:name="_Toc434010487"/>
      <w:bookmarkStart w:id="352" w:name="_Toc496168596"/>
      <w:bookmarkStart w:id="353" w:name="_Toc31237"/>
      <w:r>
        <w:rPr>
          <w:rFonts w:hint="eastAsia" w:hAnsi="黑体"/>
          <w:sz w:val="21"/>
          <w:szCs w:val="21"/>
        </w:rPr>
        <w:t>审核时间计算方法</w:t>
      </w:r>
      <w:bookmarkEnd w:id="350"/>
      <w:bookmarkEnd w:id="351"/>
      <w:bookmarkEnd w:id="352"/>
      <w:bookmarkEnd w:id="353"/>
    </w:p>
    <w:p w14:paraId="28D77209">
      <w:pPr>
        <w:pStyle w:val="70"/>
        <w:numPr>
          <w:ilvl w:val="0"/>
          <w:numId w:val="0"/>
        </w:numPr>
        <w:spacing w:before="156" w:after="156"/>
        <w:rPr>
          <w:rFonts w:hAnsi="黑体"/>
          <w:lang w:val="de-DE"/>
        </w:rPr>
      </w:pPr>
      <w:r>
        <w:rPr>
          <w:rFonts w:hint="eastAsia" w:hAnsi="黑体"/>
          <w:lang w:val="de-DE"/>
        </w:rPr>
        <w:t>D.1　</w:t>
      </w:r>
      <w:r>
        <w:rPr>
          <w:rFonts w:hint="eastAsia" w:hAnsi="黑体"/>
        </w:rPr>
        <w:t>总则</w:t>
      </w:r>
    </w:p>
    <w:p w14:paraId="42ABAABE">
      <w:pPr>
        <w:ind w:firstLine="420" w:firstLineChars="200"/>
        <w:rPr>
          <w:rFonts w:hint="eastAsia" w:ascii="宋体" w:hAnsi="宋体"/>
          <w:szCs w:val="21"/>
        </w:rPr>
      </w:pPr>
      <w:r>
        <w:rPr>
          <w:rFonts w:hint="eastAsia" w:ascii="宋体" w:hAnsi="宋体"/>
          <w:szCs w:val="21"/>
        </w:rPr>
        <w:t>本附录进一步提供了推导审核时间计算公式</w:t>
      </w:r>
      <w:r>
        <w:rPr>
          <w:rFonts w:hint="eastAsia" w:ascii="宋体" w:hAnsi="宋体"/>
          <w:szCs w:val="21"/>
          <w:lang w:eastAsia="zh-CN"/>
        </w:rPr>
        <w:t>的</w:t>
      </w:r>
      <w:r>
        <w:rPr>
          <w:rFonts w:hint="eastAsia" w:ascii="宋体" w:hAnsi="宋体"/>
          <w:szCs w:val="21"/>
        </w:rPr>
        <w:t>指南。D.2给出了对因数进行</w:t>
      </w:r>
      <w:r>
        <w:rPr>
          <w:rFonts w:hint="eastAsia" w:ascii="宋体" w:hAnsi="宋体"/>
          <w:szCs w:val="21"/>
          <w:lang w:eastAsia="zh-CN"/>
        </w:rPr>
        <w:t>分级</w:t>
      </w:r>
      <w:r>
        <w:rPr>
          <w:rFonts w:hint="eastAsia" w:ascii="宋体" w:hAnsi="宋体"/>
          <w:szCs w:val="21"/>
        </w:rPr>
        <w:t>的示例，它</w:t>
      </w:r>
      <w:r>
        <w:rPr>
          <w:rFonts w:hint="eastAsia" w:ascii="宋体" w:hAnsi="宋体"/>
          <w:szCs w:val="21"/>
          <w:lang w:val="en-US" w:eastAsia="zh-CN"/>
        </w:rPr>
        <w:t>能</w:t>
      </w:r>
      <w:r>
        <w:rPr>
          <w:rFonts w:hint="eastAsia" w:ascii="宋体" w:hAnsi="宋体"/>
          <w:szCs w:val="21"/>
        </w:rPr>
        <w:t>用作审核时间计算的基础。D.3提供了一个审核时间计算的示例。</w:t>
      </w:r>
    </w:p>
    <w:p w14:paraId="45F69ACC">
      <w:pPr>
        <w:ind w:firstLine="360" w:firstLineChars="200"/>
        <w:rPr>
          <w:rFonts w:ascii="宋体" w:hAnsi="宋体"/>
          <w:szCs w:val="21"/>
        </w:rPr>
      </w:pPr>
      <w:r>
        <w:rPr>
          <w:rFonts w:hint="eastAsia" w:ascii="黑体" w:hAnsi="黑体" w:eastAsia="黑体"/>
          <w:kern w:val="0"/>
          <w:sz w:val="18"/>
          <w:szCs w:val="18"/>
          <w:lang w:val="de-DE"/>
        </w:rPr>
        <w:t>注：</w:t>
      </w:r>
      <w:r>
        <w:rPr>
          <w:rFonts w:hint="eastAsia" w:ascii="宋体" w:hAnsi="宋体"/>
          <w:kern w:val="0"/>
          <w:sz w:val="18"/>
          <w:szCs w:val="18"/>
          <w:lang w:val="de-DE"/>
        </w:rPr>
        <w:t>本附录</w:t>
      </w:r>
      <w:r>
        <w:rPr>
          <w:rFonts w:hint="eastAsia" w:ascii="宋体" w:hAnsi="宋体"/>
          <w:kern w:val="0"/>
          <w:sz w:val="18"/>
          <w:szCs w:val="18"/>
          <w:lang w:val="en-US" w:eastAsia="zh-CN"/>
        </w:rPr>
        <w:t>涉及的是</w:t>
      </w:r>
      <w:r>
        <w:rPr>
          <w:rFonts w:hint="eastAsia" w:ascii="宋体" w:hAnsi="宋体"/>
          <w:kern w:val="0"/>
          <w:sz w:val="18"/>
          <w:szCs w:val="18"/>
          <w:lang w:val="de-DE"/>
        </w:rPr>
        <w:t>在对从事某些相同活动的人员数量进行减少</w:t>
      </w:r>
      <w:r>
        <w:rPr>
          <w:rFonts w:hint="eastAsia" w:ascii="宋体" w:hAnsi="宋体"/>
          <w:kern w:val="0"/>
          <w:sz w:val="18"/>
          <w:szCs w:val="18"/>
          <w:lang w:val="de-DE" w:eastAsia="zh-CN"/>
        </w:rPr>
        <w:t>（</w:t>
      </w:r>
      <w:r>
        <w:rPr>
          <w:rFonts w:hint="eastAsia" w:ascii="宋体" w:hAnsi="宋体"/>
          <w:kern w:val="0"/>
          <w:sz w:val="18"/>
          <w:szCs w:val="18"/>
          <w:lang w:val="en-US" w:eastAsia="zh-CN"/>
        </w:rPr>
        <w:t>见</w:t>
      </w:r>
      <w:r>
        <w:rPr>
          <w:rFonts w:hint="eastAsia" w:ascii="宋体" w:hAnsi="宋体"/>
          <w:kern w:val="0"/>
          <w:sz w:val="18"/>
          <w:szCs w:val="18"/>
          <w:lang w:val="de-DE"/>
        </w:rPr>
        <w:t>C.3.4</w:t>
      </w:r>
      <w:r>
        <w:rPr>
          <w:rFonts w:hint="eastAsia" w:ascii="宋体" w:hAnsi="宋体"/>
          <w:kern w:val="0"/>
          <w:sz w:val="18"/>
          <w:szCs w:val="18"/>
          <w:lang w:val="de-DE" w:eastAsia="zh-CN"/>
        </w:rPr>
        <w:t>）</w:t>
      </w:r>
      <w:r>
        <w:rPr>
          <w:rFonts w:hint="eastAsia" w:ascii="宋体" w:hAnsi="宋体"/>
          <w:kern w:val="0"/>
          <w:sz w:val="18"/>
          <w:szCs w:val="18"/>
          <w:lang w:val="de-DE"/>
        </w:rPr>
        <w:t>之后</w:t>
      </w:r>
      <w:r>
        <w:rPr>
          <w:rFonts w:hint="eastAsia" w:ascii="宋体" w:hAnsi="宋体"/>
          <w:kern w:val="0"/>
          <w:sz w:val="18"/>
          <w:szCs w:val="18"/>
          <w:lang w:val="de-DE" w:eastAsia="zh-CN"/>
        </w:rPr>
        <w:t>的</w:t>
      </w:r>
      <w:r>
        <w:rPr>
          <w:rFonts w:hint="eastAsia" w:ascii="宋体" w:hAnsi="宋体"/>
          <w:kern w:val="0"/>
          <w:sz w:val="18"/>
          <w:szCs w:val="18"/>
          <w:lang w:val="en-US" w:eastAsia="zh-CN"/>
        </w:rPr>
        <w:t>活动</w:t>
      </w:r>
      <w:r>
        <w:rPr>
          <w:rFonts w:hint="eastAsia" w:ascii="宋体" w:hAnsi="宋体"/>
          <w:kern w:val="0"/>
          <w:sz w:val="18"/>
          <w:szCs w:val="18"/>
          <w:lang w:val="de-DE"/>
        </w:rPr>
        <w:t>。</w:t>
      </w:r>
    </w:p>
    <w:p w14:paraId="455F0997">
      <w:pPr>
        <w:pStyle w:val="70"/>
        <w:numPr>
          <w:ilvl w:val="0"/>
          <w:numId w:val="0"/>
        </w:numPr>
        <w:spacing w:before="156" w:after="156"/>
        <w:rPr>
          <w:rFonts w:hint="eastAsia" w:hAnsi="黑体" w:eastAsia="黑体"/>
          <w:lang w:val="de-DE" w:eastAsia="zh-CN"/>
        </w:rPr>
      </w:pPr>
      <w:r>
        <w:rPr>
          <w:rFonts w:hint="eastAsia" w:hAnsi="黑体"/>
          <w:lang w:val="de-DE"/>
        </w:rPr>
        <w:t>D.2　审核时间计算因数的</w:t>
      </w:r>
      <w:r>
        <w:rPr>
          <w:rFonts w:hint="eastAsia" w:hAnsi="黑体"/>
          <w:lang w:val="de-DE" w:eastAsia="zh-CN"/>
        </w:rPr>
        <w:t>分级</w:t>
      </w:r>
    </w:p>
    <w:p w14:paraId="2F7F8F2F">
      <w:pPr>
        <w:ind w:firstLine="420" w:firstLineChars="200"/>
        <w:rPr>
          <w:rFonts w:ascii="宋体" w:hAnsi="宋体"/>
          <w:szCs w:val="21"/>
        </w:rPr>
      </w:pPr>
      <w:r>
        <w:rPr>
          <w:rFonts w:hint="eastAsia" w:ascii="宋体" w:hAnsi="宋体"/>
          <w:szCs w:val="21"/>
        </w:rPr>
        <w:t>表D.1给出了</w:t>
      </w:r>
      <w:r>
        <w:rPr>
          <w:rFonts w:hint="eastAsia" w:ascii="宋体" w:hAnsi="宋体"/>
          <w:szCs w:val="21"/>
          <w:lang w:val="en-US" w:eastAsia="zh-CN"/>
        </w:rPr>
        <w:t>主要的</w:t>
      </w:r>
      <w:r>
        <w:rPr>
          <w:rFonts w:hint="eastAsia" w:ascii="宋体" w:hAnsi="宋体"/>
          <w:szCs w:val="21"/>
        </w:rPr>
        <w:t>审核时间计算因数</w:t>
      </w:r>
      <w:r>
        <w:rPr>
          <w:rFonts w:hint="eastAsia" w:ascii="宋体" w:hAnsi="宋体"/>
          <w:szCs w:val="21"/>
          <w:lang w:val="en-US" w:eastAsia="zh-CN"/>
        </w:rPr>
        <w:t>[见</w:t>
      </w:r>
      <w:r>
        <w:rPr>
          <w:rFonts w:hint="eastAsia" w:ascii="宋体" w:hAnsi="宋体"/>
          <w:szCs w:val="21"/>
        </w:rPr>
        <w:t>C.3.</w:t>
      </w:r>
      <w:r>
        <w:rPr>
          <w:rFonts w:hint="eastAsia" w:ascii="宋体" w:hAnsi="宋体"/>
          <w:szCs w:val="21"/>
          <w:lang w:val="en-US" w:eastAsia="zh-CN"/>
        </w:rPr>
        <w:t>5</w:t>
      </w:r>
      <w:r>
        <w:rPr>
          <w:rFonts w:hint="eastAsia" w:ascii="宋体" w:hAnsi="宋体"/>
          <w:szCs w:val="21"/>
        </w:rPr>
        <w:t xml:space="preserve"> 中a）-i）</w:t>
      </w:r>
      <w:r>
        <w:rPr>
          <w:rFonts w:hint="eastAsia" w:ascii="宋体" w:hAnsi="宋体"/>
          <w:szCs w:val="21"/>
          <w:lang w:val="en-US" w:eastAsia="zh-CN"/>
        </w:rPr>
        <w:t>]的分级</w:t>
      </w:r>
      <w:r>
        <w:rPr>
          <w:rFonts w:hint="eastAsia" w:ascii="宋体" w:hAnsi="宋体"/>
          <w:szCs w:val="21"/>
        </w:rPr>
        <w:t>示例。认证机构</w:t>
      </w:r>
      <w:r>
        <w:rPr>
          <w:rFonts w:hint="eastAsia" w:ascii="宋体" w:hAnsi="宋体"/>
          <w:szCs w:val="21"/>
          <w:lang w:val="en-US" w:eastAsia="zh-CN"/>
        </w:rPr>
        <w:t>能</w:t>
      </w:r>
      <w:r>
        <w:rPr>
          <w:rFonts w:hint="eastAsia" w:ascii="宋体" w:hAnsi="宋体"/>
          <w:szCs w:val="21"/>
        </w:rPr>
        <w:t>使用该</w:t>
      </w:r>
      <w:r>
        <w:rPr>
          <w:rFonts w:hint="eastAsia" w:ascii="宋体" w:hAnsi="宋体"/>
          <w:szCs w:val="21"/>
          <w:lang w:val="en-US" w:eastAsia="zh-CN"/>
        </w:rPr>
        <w:t>分级</w:t>
      </w:r>
      <w:r>
        <w:rPr>
          <w:rFonts w:hint="eastAsia" w:ascii="宋体" w:hAnsi="宋体"/>
          <w:szCs w:val="21"/>
        </w:rPr>
        <w:t>来制定一个符合9.1.4.2的审核时间计算方案。</w:t>
      </w:r>
    </w:p>
    <w:p w14:paraId="3826CC90">
      <w:pPr>
        <w:jc w:val="center"/>
        <w:rPr>
          <w:rFonts w:ascii="黑体" w:hAnsi="黑体" w:eastAsia="黑体" w:cs="Arial"/>
          <w:szCs w:val="21"/>
        </w:rPr>
      </w:pPr>
      <w:r>
        <w:rPr>
          <w:rFonts w:hint="eastAsia" w:ascii="黑体" w:hAnsi="黑体" w:eastAsia="黑体" w:cs="Arial"/>
          <w:szCs w:val="21"/>
        </w:rPr>
        <w:t>表D.1 审核时间计算因数的</w:t>
      </w:r>
      <w:r>
        <w:rPr>
          <w:rFonts w:hint="eastAsia" w:ascii="黑体" w:hAnsi="黑体" w:eastAsia="黑体" w:cs="Arial"/>
          <w:szCs w:val="21"/>
          <w:lang w:val="en-US" w:eastAsia="zh-CN"/>
        </w:rPr>
        <w:t>分级</w:t>
      </w:r>
    </w:p>
    <w:tbl>
      <w:tblPr>
        <w:tblStyle w:val="4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0"/>
        <w:gridCol w:w="2410"/>
        <w:gridCol w:w="2268"/>
        <w:gridCol w:w="2403"/>
      </w:tblGrid>
      <w:tr w14:paraId="723D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 w:hRule="atLeast"/>
        </w:trPr>
        <w:tc>
          <w:tcPr>
            <w:tcW w:w="1980" w:type="dxa"/>
            <w:vMerge w:val="restart"/>
            <w:tcBorders>
              <w:tl2br w:val="nil"/>
            </w:tcBorders>
            <w:shd w:val="clear" w:color="auto" w:fill="auto"/>
          </w:tcPr>
          <w:p w14:paraId="116CA218">
            <w:pPr>
              <w:jc w:val="center"/>
              <w:rPr>
                <w:rFonts w:ascii="宋体" w:hAnsi="宋体"/>
                <w:sz w:val="18"/>
                <w:szCs w:val="18"/>
              </w:rPr>
            </w:pPr>
            <w:r>
              <w:rPr>
                <w:rFonts w:hint="eastAsia" w:ascii="宋体" w:hAnsi="宋体"/>
                <w:sz w:val="18"/>
                <w:szCs w:val="18"/>
              </w:rPr>
              <w:t>因数</w:t>
            </w:r>
          </w:p>
          <w:p w14:paraId="738725F7">
            <w:pPr>
              <w:jc w:val="center"/>
              <w:rPr>
                <w:rFonts w:ascii="宋体" w:hAnsi="宋体"/>
                <w:sz w:val="18"/>
                <w:szCs w:val="18"/>
              </w:rPr>
            </w:pPr>
            <w:r>
              <w:rPr>
                <w:rFonts w:hint="eastAsia" w:ascii="宋体" w:hAnsi="宋体"/>
                <w:sz w:val="18"/>
                <w:szCs w:val="18"/>
              </w:rPr>
              <w:t>（见C.3.5）</w:t>
            </w:r>
          </w:p>
        </w:tc>
        <w:tc>
          <w:tcPr>
            <w:tcW w:w="7081" w:type="dxa"/>
            <w:gridSpan w:val="3"/>
            <w:shd w:val="clear" w:color="auto" w:fill="auto"/>
            <w:vAlign w:val="center"/>
          </w:tcPr>
          <w:p w14:paraId="1018E077">
            <w:pPr>
              <w:jc w:val="center"/>
              <w:rPr>
                <w:rFonts w:ascii="宋体" w:hAnsi="宋体"/>
                <w:sz w:val="18"/>
                <w:szCs w:val="18"/>
              </w:rPr>
            </w:pPr>
            <w:r>
              <w:rPr>
                <w:rFonts w:hint="eastAsia" w:ascii="宋体" w:hAnsi="宋体"/>
                <w:sz w:val="18"/>
                <w:szCs w:val="18"/>
              </w:rPr>
              <w:t>对</w:t>
            </w:r>
            <w:r>
              <w:rPr>
                <w:rFonts w:hint="eastAsia" w:ascii="宋体" w:hAnsi="宋体"/>
                <w:sz w:val="18"/>
                <w:szCs w:val="18"/>
                <w:lang w:val="en-US" w:eastAsia="zh-CN"/>
              </w:rPr>
              <w:t>审核</w:t>
            </w:r>
            <w:r>
              <w:rPr>
                <w:rFonts w:hint="eastAsia" w:ascii="宋体" w:hAnsi="宋体"/>
                <w:sz w:val="18"/>
                <w:szCs w:val="18"/>
              </w:rPr>
              <w:t>工作量的影响</w:t>
            </w:r>
          </w:p>
        </w:tc>
      </w:tr>
      <w:tr w14:paraId="5336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 w:hRule="atLeast"/>
        </w:trPr>
        <w:tc>
          <w:tcPr>
            <w:tcW w:w="1980" w:type="dxa"/>
            <w:vMerge w:val="continue"/>
            <w:tcBorders>
              <w:tl2br w:val="nil"/>
            </w:tcBorders>
            <w:shd w:val="clear" w:color="auto" w:fill="auto"/>
          </w:tcPr>
          <w:p w14:paraId="1D6F29B8">
            <w:pPr>
              <w:rPr>
                <w:rFonts w:ascii="宋体" w:hAnsi="宋体"/>
                <w:sz w:val="18"/>
                <w:szCs w:val="18"/>
              </w:rPr>
            </w:pPr>
          </w:p>
        </w:tc>
        <w:tc>
          <w:tcPr>
            <w:tcW w:w="2410" w:type="dxa"/>
            <w:shd w:val="clear" w:color="auto" w:fill="auto"/>
            <w:vAlign w:val="center"/>
          </w:tcPr>
          <w:p w14:paraId="34B10FD5">
            <w:pPr>
              <w:jc w:val="center"/>
              <w:rPr>
                <w:rFonts w:ascii="宋体" w:hAnsi="宋体"/>
                <w:sz w:val="18"/>
                <w:szCs w:val="18"/>
              </w:rPr>
            </w:pPr>
            <w:r>
              <w:rPr>
                <w:rFonts w:hint="eastAsia" w:ascii="宋体" w:hAnsi="宋体"/>
                <w:sz w:val="18"/>
                <w:szCs w:val="18"/>
              </w:rPr>
              <w:t>减少工作量</w:t>
            </w:r>
          </w:p>
        </w:tc>
        <w:tc>
          <w:tcPr>
            <w:tcW w:w="2268" w:type="dxa"/>
            <w:shd w:val="clear" w:color="auto" w:fill="auto"/>
            <w:vAlign w:val="center"/>
          </w:tcPr>
          <w:p w14:paraId="029A36C4">
            <w:pPr>
              <w:jc w:val="center"/>
              <w:rPr>
                <w:rFonts w:ascii="宋体" w:hAnsi="宋体"/>
                <w:sz w:val="18"/>
                <w:szCs w:val="18"/>
              </w:rPr>
            </w:pPr>
            <w:r>
              <w:rPr>
                <w:rFonts w:ascii="宋体" w:hAnsi="宋体"/>
                <w:sz w:val="18"/>
                <w:szCs w:val="18"/>
              </w:rPr>
              <w:t>正常工作量</w:t>
            </w:r>
          </w:p>
        </w:tc>
        <w:tc>
          <w:tcPr>
            <w:tcW w:w="2403" w:type="dxa"/>
            <w:shd w:val="clear" w:color="auto" w:fill="auto"/>
            <w:vAlign w:val="center"/>
          </w:tcPr>
          <w:p w14:paraId="082E5329">
            <w:pPr>
              <w:jc w:val="center"/>
              <w:rPr>
                <w:rFonts w:ascii="宋体" w:hAnsi="宋体"/>
                <w:sz w:val="18"/>
                <w:szCs w:val="18"/>
              </w:rPr>
            </w:pPr>
            <w:r>
              <w:rPr>
                <w:rFonts w:ascii="宋体" w:hAnsi="宋体"/>
                <w:sz w:val="18"/>
                <w:szCs w:val="18"/>
              </w:rPr>
              <w:t>增加工作量</w:t>
            </w:r>
          </w:p>
        </w:tc>
      </w:tr>
      <w:tr w14:paraId="3A2E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shd w:val="clear" w:color="auto" w:fill="auto"/>
          </w:tcPr>
          <w:p w14:paraId="71193A8A">
            <w:pPr>
              <w:pStyle w:val="252"/>
              <w:numPr>
                <w:ilvl w:val="0"/>
                <w:numId w:val="47"/>
              </w:numPr>
              <w:ind w:firstLineChars="0"/>
              <w:rPr>
                <w:rFonts w:ascii="宋体" w:hAnsi="宋体"/>
                <w:sz w:val="18"/>
                <w:szCs w:val="18"/>
              </w:rPr>
            </w:pPr>
            <w:r>
              <w:rPr>
                <w:rFonts w:hint="eastAsia" w:ascii="宋体" w:hAnsi="宋体"/>
                <w:sz w:val="18"/>
                <w:szCs w:val="18"/>
              </w:rPr>
              <w:t>ISMS的复杂性：</w:t>
            </w:r>
          </w:p>
          <w:p w14:paraId="5E4524BD">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信息安全要求[保密性、完整性和可用性（CIA）]</w:t>
            </w:r>
          </w:p>
          <w:p w14:paraId="5A07B09E">
            <w:pPr>
              <w:numPr>
                <w:ilvl w:val="0"/>
                <w:numId w:val="0"/>
              </w:numPr>
              <w:ind w:left="420" w:hanging="420" w:hangingChars="200"/>
              <w:rPr>
                <w:rFonts w:ascii="Times New Roman" w:hAnsi="Times New Roman"/>
                <w:sz w:val="21"/>
                <w:szCs w:val="21"/>
              </w:rPr>
            </w:pPr>
            <w:r>
              <w:rPr>
                <w:szCs w:val="21"/>
              </w:rPr>
              <w:t>——</w:t>
            </w:r>
            <w:r>
              <w:rPr>
                <w:rFonts w:hint="default" w:ascii="Times New Roman" w:hAnsi="Times New Roman"/>
                <w:sz w:val="21"/>
                <w:szCs w:val="21"/>
              </w:rPr>
              <w:t>关键资产的数量</w:t>
            </w:r>
          </w:p>
          <w:p w14:paraId="2BF64C42">
            <w:pPr>
              <w:numPr>
                <w:ilvl w:val="0"/>
                <w:numId w:val="0"/>
              </w:numPr>
              <w:ind w:left="420" w:hanging="420" w:hangingChars="200"/>
              <w:rPr>
                <w:rFonts w:ascii="宋体" w:hAnsi="宋体"/>
                <w:sz w:val="18"/>
                <w:szCs w:val="18"/>
              </w:rPr>
            </w:pPr>
            <w:r>
              <w:rPr>
                <w:szCs w:val="21"/>
              </w:rPr>
              <w:t>——</w:t>
            </w:r>
            <w:r>
              <w:rPr>
                <w:rFonts w:hint="default" w:ascii="Times New Roman" w:hAnsi="Times New Roman"/>
                <w:sz w:val="21"/>
                <w:szCs w:val="21"/>
              </w:rPr>
              <w:t>过程和服务的数量</w:t>
            </w:r>
          </w:p>
        </w:tc>
        <w:tc>
          <w:tcPr>
            <w:tcW w:w="2410" w:type="dxa"/>
            <w:shd w:val="clear" w:color="auto" w:fill="auto"/>
          </w:tcPr>
          <w:p w14:paraId="7212B94B">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只有少量的敏感信息或保密信息，可用性要求低；</w:t>
            </w:r>
          </w:p>
          <w:p w14:paraId="1BCA8636">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很少的关键资产（根据CIA）；</w:t>
            </w:r>
          </w:p>
          <w:p w14:paraId="1790B628">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只有一个关键业务过程，该过程的接口和涉及的业务单元很少</w:t>
            </w:r>
            <w:r>
              <w:rPr>
                <w:rFonts w:hint="eastAsia" w:ascii="宋体" w:hAnsi="宋体"/>
                <w:sz w:val="18"/>
                <w:szCs w:val="18"/>
                <w:lang w:eastAsia="zh-CN"/>
              </w:rPr>
              <w:t>。</w:t>
            </w:r>
          </w:p>
        </w:tc>
        <w:tc>
          <w:tcPr>
            <w:tcW w:w="2268" w:type="dxa"/>
            <w:shd w:val="clear" w:color="auto" w:fill="auto"/>
          </w:tcPr>
          <w:p w14:paraId="311DE5C7">
            <w:pPr>
              <w:numPr>
                <w:ilvl w:val="0"/>
                <w:numId w:val="0"/>
              </w:numPr>
              <w:ind w:left="420" w:hanging="420" w:hangingChars="200"/>
              <w:rPr>
                <w:rFonts w:hint="eastAsia" w:ascii="宋体" w:hAnsi="宋体"/>
                <w:sz w:val="18"/>
                <w:szCs w:val="18"/>
              </w:rPr>
            </w:pPr>
            <w:r>
              <w:rPr>
                <w:szCs w:val="21"/>
              </w:rPr>
              <w:t>——</w:t>
            </w:r>
            <w:r>
              <w:rPr>
                <w:rFonts w:hint="eastAsia" w:ascii="宋体" w:hAnsi="宋体"/>
                <w:sz w:val="18"/>
                <w:szCs w:val="18"/>
              </w:rPr>
              <w:t>较高的可用性要求或</w:t>
            </w:r>
            <w:r>
              <w:rPr>
                <w:rFonts w:hint="eastAsia" w:ascii="宋体" w:hAnsi="宋体"/>
                <w:sz w:val="18"/>
                <w:szCs w:val="18"/>
                <w:lang w:val="en-US" w:eastAsia="zh-CN"/>
              </w:rPr>
              <w:t>有</w:t>
            </w:r>
            <w:r>
              <w:rPr>
                <w:rFonts w:hint="eastAsia" w:ascii="宋体" w:hAnsi="宋体"/>
                <w:sz w:val="18"/>
                <w:szCs w:val="18"/>
              </w:rPr>
              <w:t>若干敏感</w:t>
            </w:r>
            <w:r>
              <w:rPr>
                <w:rFonts w:hint="eastAsia" w:ascii="宋体" w:hAnsi="宋体"/>
                <w:sz w:val="18"/>
                <w:szCs w:val="18"/>
                <w:lang w:val="en-US" w:eastAsia="zh-CN"/>
              </w:rPr>
              <w:t>信息或</w:t>
            </w:r>
            <w:r>
              <w:rPr>
                <w:rFonts w:hint="eastAsia" w:ascii="宋体" w:hAnsi="宋体"/>
                <w:sz w:val="18"/>
                <w:szCs w:val="18"/>
              </w:rPr>
              <w:t>保密信息；</w:t>
            </w:r>
          </w:p>
          <w:p w14:paraId="548BD3D9">
            <w:pPr>
              <w:numPr>
                <w:ilvl w:val="0"/>
                <w:numId w:val="0"/>
              </w:numPr>
              <w:ind w:left="420" w:hanging="420" w:hangingChars="200"/>
              <w:rPr>
                <w:rFonts w:hint="eastAsia" w:ascii="宋体" w:hAnsi="宋体"/>
                <w:sz w:val="18"/>
                <w:szCs w:val="18"/>
              </w:rPr>
            </w:pPr>
            <w:r>
              <w:rPr>
                <w:szCs w:val="21"/>
              </w:rPr>
              <w:t>——</w:t>
            </w:r>
            <w:r>
              <w:rPr>
                <w:rFonts w:hint="eastAsia" w:ascii="宋体" w:hAnsi="宋体"/>
                <w:sz w:val="18"/>
                <w:szCs w:val="18"/>
              </w:rPr>
              <w:t>若干关键资产；</w:t>
            </w:r>
          </w:p>
          <w:p w14:paraId="64DCEEFA">
            <w:pPr>
              <w:numPr>
                <w:ilvl w:val="0"/>
                <w:numId w:val="0"/>
              </w:numPr>
              <w:ind w:left="420" w:hanging="420" w:hangingChars="200"/>
              <w:rPr>
                <w:rFonts w:hint="eastAsia" w:ascii="宋体" w:hAnsi="宋体" w:eastAsia="宋体"/>
                <w:sz w:val="18"/>
                <w:szCs w:val="18"/>
                <w:lang w:eastAsia="zh-CN"/>
              </w:rPr>
            </w:pPr>
            <w:r>
              <w:rPr>
                <w:szCs w:val="21"/>
              </w:rPr>
              <w:t>——</w:t>
            </w:r>
            <w:r>
              <w:rPr>
                <w:rFonts w:hint="eastAsia" w:ascii="宋体" w:hAnsi="宋体"/>
                <w:sz w:val="18"/>
                <w:szCs w:val="18"/>
              </w:rPr>
              <w:t>2-3个简单的业务过程，这些过程的接口和涉及的业务单元很少</w:t>
            </w:r>
            <w:r>
              <w:rPr>
                <w:rFonts w:hint="eastAsia" w:ascii="宋体" w:hAnsi="宋体"/>
                <w:sz w:val="18"/>
                <w:szCs w:val="18"/>
                <w:lang w:eastAsia="zh-CN"/>
              </w:rPr>
              <w:t>。</w:t>
            </w:r>
          </w:p>
        </w:tc>
        <w:tc>
          <w:tcPr>
            <w:tcW w:w="2403" w:type="dxa"/>
            <w:shd w:val="clear" w:color="auto" w:fill="auto"/>
          </w:tcPr>
          <w:p w14:paraId="46A99F99">
            <w:pPr>
              <w:numPr>
                <w:ilvl w:val="0"/>
                <w:numId w:val="0"/>
              </w:numPr>
              <w:ind w:left="420" w:hanging="420" w:hangingChars="200"/>
              <w:rPr>
                <w:rFonts w:hint="eastAsia" w:ascii="宋体" w:hAnsi="宋体"/>
                <w:sz w:val="18"/>
                <w:szCs w:val="18"/>
              </w:rPr>
            </w:pPr>
            <w:r>
              <w:rPr>
                <w:szCs w:val="21"/>
              </w:rPr>
              <w:t>——</w:t>
            </w:r>
            <w:r>
              <w:rPr>
                <w:rFonts w:hint="eastAsia" w:ascii="宋体" w:hAnsi="宋体"/>
                <w:sz w:val="18"/>
                <w:szCs w:val="18"/>
              </w:rPr>
              <w:t>比较多的保密信息或敏感信息（例如，健康、个人可识别信息、保险、银行），或可用性要求高；</w:t>
            </w:r>
          </w:p>
          <w:p w14:paraId="03CDA4CA">
            <w:pPr>
              <w:numPr>
                <w:ilvl w:val="0"/>
                <w:numId w:val="0"/>
              </w:numPr>
              <w:ind w:left="420" w:hanging="420" w:hangingChars="200"/>
              <w:rPr>
                <w:rFonts w:hint="eastAsia" w:ascii="宋体" w:hAnsi="宋体" w:eastAsia="宋体"/>
                <w:sz w:val="18"/>
                <w:szCs w:val="18"/>
                <w:lang w:eastAsia="zh-CN"/>
              </w:rPr>
            </w:pPr>
            <w:r>
              <w:rPr>
                <w:szCs w:val="21"/>
              </w:rPr>
              <w:t>——</w:t>
            </w:r>
            <w:r>
              <w:rPr>
                <w:rFonts w:hint="eastAsia" w:ascii="宋体" w:hAnsi="宋体"/>
                <w:sz w:val="18"/>
                <w:szCs w:val="18"/>
              </w:rPr>
              <w:t>很多关键资产</w:t>
            </w:r>
            <w:r>
              <w:rPr>
                <w:rFonts w:hint="eastAsia" w:ascii="宋体" w:hAnsi="宋体"/>
                <w:sz w:val="18"/>
                <w:szCs w:val="18"/>
                <w:lang w:eastAsia="zh-CN"/>
              </w:rPr>
              <w:t>；</w:t>
            </w:r>
          </w:p>
          <w:p w14:paraId="1AD0C12F">
            <w:pPr>
              <w:numPr>
                <w:ilvl w:val="0"/>
                <w:numId w:val="0"/>
              </w:numPr>
              <w:ind w:left="420" w:hanging="420" w:hangingChars="200"/>
              <w:rPr>
                <w:rFonts w:hint="eastAsia" w:ascii="宋体" w:hAnsi="宋体"/>
                <w:sz w:val="18"/>
                <w:szCs w:val="18"/>
              </w:rPr>
            </w:pPr>
            <w:r>
              <w:rPr>
                <w:szCs w:val="21"/>
              </w:rPr>
              <w:t>——</w:t>
            </w:r>
            <w:r>
              <w:rPr>
                <w:rFonts w:hint="eastAsia" w:ascii="宋体" w:hAnsi="宋体"/>
                <w:sz w:val="18"/>
                <w:szCs w:val="18"/>
              </w:rPr>
              <w:t>超过2个复杂的过程，这些过程的接口和涉及的业务单元很多</w:t>
            </w:r>
            <w:r>
              <w:rPr>
                <w:rFonts w:hint="eastAsia" w:ascii="宋体" w:hAnsi="宋体"/>
                <w:sz w:val="18"/>
                <w:szCs w:val="18"/>
                <w:lang w:eastAsia="zh-CN"/>
              </w:rPr>
              <w:t>。</w:t>
            </w:r>
          </w:p>
        </w:tc>
      </w:tr>
      <w:tr w14:paraId="0490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shd w:val="clear" w:color="auto" w:fill="auto"/>
          </w:tcPr>
          <w:p w14:paraId="69F3E8DA">
            <w:pPr>
              <w:rPr>
                <w:rFonts w:ascii="宋体" w:hAnsi="宋体"/>
                <w:sz w:val="18"/>
                <w:szCs w:val="18"/>
              </w:rPr>
            </w:pPr>
            <w:r>
              <w:rPr>
                <w:rFonts w:hint="eastAsia" w:ascii="宋体" w:hAnsi="宋体"/>
                <w:sz w:val="18"/>
                <w:szCs w:val="18"/>
              </w:rPr>
              <w:t>b）ISMS范围内所开展业务的类型</w:t>
            </w:r>
          </w:p>
        </w:tc>
        <w:tc>
          <w:tcPr>
            <w:tcW w:w="2410" w:type="dxa"/>
            <w:shd w:val="clear" w:color="auto" w:fill="auto"/>
          </w:tcPr>
          <w:p w14:paraId="1A04E6C3">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低风险的业务，没有法规要求</w:t>
            </w:r>
            <w:r>
              <w:rPr>
                <w:rFonts w:hint="eastAsia" w:ascii="宋体" w:hAnsi="宋体"/>
                <w:sz w:val="18"/>
                <w:szCs w:val="18"/>
                <w:lang w:eastAsia="zh-CN"/>
              </w:rPr>
              <w:t>。</w:t>
            </w:r>
          </w:p>
        </w:tc>
        <w:tc>
          <w:tcPr>
            <w:tcW w:w="2268" w:type="dxa"/>
            <w:shd w:val="clear" w:color="auto" w:fill="auto"/>
          </w:tcPr>
          <w:p w14:paraId="7DD45E8D">
            <w:pPr>
              <w:numPr>
                <w:ilvl w:val="0"/>
                <w:numId w:val="0"/>
              </w:numPr>
              <w:ind w:left="0" w:firstLine="0"/>
              <w:rPr>
                <w:rFonts w:hint="eastAsia" w:ascii="宋体" w:hAnsi="宋体" w:eastAsia="宋体"/>
                <w:sz w:val="18"/>
                <w:szCs w:val="18"/>
                <w:lang w:eastAsia="zh-CN"/>
              </w:rPr>
            </w:pPr>
            <w:r>
              <w:rPr>
                <w:szCs w:val="21"/>
              </w:rPr>
              <w:t>——</w:t>
            </w:r>
            <w:r>
              <w:rPr>
                <w:rFonts w:hint="eastAsia" w:ascii="宋体" w:hAnsi="宋体"/>
                <w:sz w:val="18"/>
                <w:szCs w:val="18"/>
              </w:rPr>
              <w:t>法规要求高</w:t>
            </w:r>
            <w:r>
              <w:rPr>
                <w:rFonts w:hint="eastAsia" w:ascii="宋体" w:hAnsi="宋体"/>
                <w:sz w:val="18"/>
                <w:szCs w:val="18"/>
                <w:lang w:eastAsia="zh-CN"/>
              </w:rPr>
              <w:t>。</w:t>
            </w:r>
          </w:p>
        </w:tc>
        <w:tc>
          <w:tcPr>
            <w:tcW w:w="2403" w:type="dxa"/>
            <w:shd w:val="clear" w:color="auto" w:fill="auto"/>
          </w:tcPr>
          <w:p w14:paraId="369D96DD">
            <w:pPr>
              <w:numPr>
                <w:ilvl w:val="0"/>
                <w:numId w:val="0"/>
              </w:numPr>
              <w:ind w:left="420" w:hanging="420" w:hangingChars="200"/>
              <w:rPr>
                <w:rFonts w:hint="eastAsia" w:ascii="宋体" w:hAnsi="宋体"/>
                <w:sz w:val="18"/>
                <w:szCs w:val="18"/>
              </w:rPr>
            </w:pPr>
            <w:r>
              <w:rPr>
                <w:szCs w:val="21"/>
              </w:rPr>
              <w:t>——</w:t>
            </w:r>
            <w:r>
              <w:rPr>
                <w:rFonts w:hint="eastAsia" w:ascii="宋体" w:hAnsi="宋体"/>
                <w:sz w:val="18"/>
                <w:szCs w:val="18"/>
              </w:rPr>
              <w:t>高风险的业务，有（仅有）有限的法规要求</w:t>
            </w:r>
            <w:r>
              <w:rPr>
                <w:rFonts w:hint="eastAsia" w:ascii="宋体" w:hAnsi="宋体"/>
                <w:sz w:val="18"/>
                <w:szCs w:val="18"/>
                <w:lang w:eastAsia="zh-CN"/>
              </w:rPr>
              <w:t>。</w:t>
            </w:r>
          </w:p>
        </w:tc>
      </w:tr>
      <w:tr w14:paraId="46B0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shd w:val="clear" w:color="auto" w:fill="auto"/>
          </w:tcPr>
          <w:p w14:paraId="2AE8E8DE">
            <w:pPr>
              <w:rPr>
                <w:rFonts w:ascii="宋体" w:hAnsi="宋体"/>
                <w:sz w:val="18"/>
                <w:szCs w:val="18"/>
              </w:rPr>
            </w:pPr>
            <w:r>
              <w:rPr>
                <w:rFonts w:hint="eastAsia" w:ascii="宋体" w:hAnsi="宋体"/>
                <w:sz w:val="18"/>
                <w:szCs w:val="18"/>
              </w:rPr>
              <w:t>c）以往已证实的ISMS绩效</w:t>
            </w:r>
          </w:p>
        </w:tc>
        <w:tc>
          <w:tcPr>
            <w:tcW w:w="2410" w:type="dxa"/>
            <w:shd w:val="clear" w:color="auto" w:fill="auto"/>
          </w:tcPr>
          <w:p w14:paraId="758AB76F">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最近刚获得认证；</w:t>
            </w:r>
          </w:p>
          <w:p w14:paraId="303350CC">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没有获得认证，但ISMS已充分实施了多个审核与改进周期，包括文件化的内部审核</w:t>
            </w:r>
            <w:r>
              <w:rPr>
                <w:rFonts w:hint="eastAsia" w:ascii="宋体" w:hAnsi="宋体"/>
                <w:sz w:val="18"/>
                <w:szCs w:val="18"/>
                <w:lang w:eastAsia="zh-CN"/>
              </w:rPr>
              <w:t>、</w:t>
            </w:r>
            <w:r>
              <w:rPr>
                <w:rFonts w:hint="eastAsia" w:ascii="宋体" w:hAnsi="宋体"/>
                <w:sz w:val="18"/>
                <w:szCs w:val="18"/>
              </w:rPr>
              <w:t>管理评审和有效的持续改进体系</w:t>
            </w:r>
            <w:r>
              <w:rPr>
                <w:rFonts w:hint="eastAsia" w:ascii="宋体" w:hAnsi="宋体"/>
                <w:sz w:val="18"/>
                <w:szCs w:val="18"/>
                <w:lang w:eastAsia="zh-CN"/>
              </w:rPr>
              <w:t>。</w:t>
            </w:r>
          </w:p>
        </w:tc>
        <w:tc>
          <w:tcPr>
            <w:tcW w:w="2268" w:type="dxa"/>
            <w:shd w:val="clear" w:color="auto" w:fill="auto"/>
          </w:tcPr>
          <w:p w14:paraId="1303FC83">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最近刚通过监督审核；</w:t>
            </w:r>
          </w:p>
          <w:p w14:paraId="432C18F6">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没有获得认证，但部分实施了ISMS：获得并实施了一些管理体系工具，一些持续改进过程是适宜的但未全部文件化</w:t>
            </w:r>
            <w:r>
              <w:rPr>
                <w:rFonts w:hint="eastAsia" w:ascii="宋体" w:hAnsi="宋体"/>
                <w:sz w:val="18"/>
                <w:szCs w:val="18"/>
                <w:lang w:eastAsia="zh-CN"/>
              </w:rPr>
              <w:t>。</w:t>
            </w:r>
          </w:p>
        </w:tc>
        <w:tc>
          <w:tcPr>
            <w:tcW w:w="2403" w:type="dxa"/>
            <w:shd w:val="clear" w:color="auto" w:fill="auto"/>
          </w:tcPr>
          <w:p w14:paraId="7DD1E2A3">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未获得认证且最近未接受审核；</w:t>
            </w:r>
          </w:p>
          <w:p w14:paraId="553A84EC">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ISMS是新的且没有完全建立（例如</w:t>
            </w:r>
            <w:r>
              <w:rPr>
                <w:rFonts w:hint="eastAsia" w:ascii="宋体" w:hAnsi="宋体"/>
                <w:sz w:val="18"/>
                <w:szCs w:val="18"/>
                <w:lang w:eastAsia="zh-CN"/>
              </w:rPr>
              <w:t>，</w:t>
            </w:r>
            <w:r>
              <w:rPr>
                <w:rFonts w:hint="eastAsia" w:ascii="宋体" w:hAnsi="宋体"/>
                <w:sz w:val="18"/>
                <w:szCs w:val="18"/>
              </w:rPr>
              <w:t>缺少管理体系的特定控制机制，不成熟的持续改进过程，特别的流程执行）</w:t>
            </w:r>
            <w:r>
              <w:rPr>
                <w:rFonts w:hint="eastAsia" w:ascii="宋体" w:hAnsi="宋体"/>
                <w:sz w:val="18"/>
                <w:szCs w:val="18"/>
                <w:lang w:eastAsia="zh-CN"/>
              </w:rPr>
              <w:t>。</w:t>
            </w:r>
          </w:p>
        </w:tc>
      </w:tr>
      <w:tr w14:paraId="407D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shd w:val="clear" w:color="auto" w:fill="auto"/>
          </w:tcPr>
          <w:p w14:paraId="03D8B311">
            <w:pPr>
              <w:rPr>
                <w:rFonts w:ascii="宋体" w:hAnsi="宋体"/>
                <w:sz w:val="18"/>
                <w:szCs w:val="18"/>
              </w:rPr>
            </w:pPr>
            <w:r>
              <w:rPr>
                <w:rFonts w:hint="eastAsia" w:ascii="宋体" w:hAnsi="宋体"/>
                <w:sz w:val="18"/>
                <w:szCs w:val="18"/>
              </w:rPr>
              <w:t>d）在ISMS各部分的实施过程中，所应用的技术的水平和多样性（例如，不同IT平台的数量、隔离网络的数量）</w:t>
            </w:r>
          </w:p>
        </w:tc>
        <w:tc>
          <w:tcPr>
            <w:tcW w:w="2410" w:type="dxa"/>
            <w:shd w:val="clear" w:color="auto" w:fill="auto"/>
          </w:tcPr>
          <w:p w14:paraId="5F60B025">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高标准化、低多样性的环境（</w:t>
            </w:r>
            <w:r>
              <w:rPr>
                <w:rFonts w:hint="eastAsia" w:ascii="宋体" w:hAnsi="宋体"/>
                <w:sz w:val="18"/>
                <w:szCs w:val="18"/>
                <w:lang w:val="en-US" w:eastAsia="zh-CN"/>
              </w:rPr>
              <w:t>例如，</w:t>
            </w:r>
            <w:r>
              <w:rPr>
                <w:rFonts w:hint="eastAsia" w:ascii="宋体" w:hAnsi="宋体"/>
                <w:sz w:val="18"/>
                <w:szCs w:val="18"/>
              </w:rPr>
              <w:t>很少的IT平台、服务器、操作系统、数据库、网络等）</w:t>
            </w:r>
            <w:r>
              <w:rPr>
                <w:rFonts w:hint="eastAsia" w:ascii="宋体" w:hAnsi="宋体"/>
                <w:sz w:val="18"/>
                <w:szCs w:val="18"/>
                <w:lang w:eastAsia="zh-CN"/>
              </w:rPr>
              <w:t>。</w:t>
            </w:r>
          </w:p>
        </w:tc>
        <w:tc>
          <w:tcPr>
            <w:tcW w:w="2268" w:type="dxa"/>
            <w:shd w:val="clear" w:color="auto" w:fill="auto"/>
          </w:tcPr>
          <w:p w14:paraId="6346B12E">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标准化且多样性的IT平台、服务器、操作系统、数据库和网络</w:t>
            </w:r>
            <w:r>
              <w:rPr>
                <w:rFonts w:hint="eastAsia" w:ascii="宋体" w:hAnsi="宋体"/>
                <w:sz w:val="18"/>
                <w:szCs w:val="18"/>
                <w:lang w:eastAsia="zh-CN"/>
              </w:rPr>
              <w:t>。</w:t>
            </w:r>
          </w:p>
        </w:tc>
        <w:tc>
          <w:tcPr>
            <w:tcW w:w="2403" w:type="dxa"/>
            <w:shd w:val="clear" w:color="auto" w:fill="auto"/>
          </w:tcPr>
          <w:p w14:paraId="28DDF6C8">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高多样性或复杂的IT环境（例如，很多不同的网段、服务器或数据库的类型、关键应用的数量）</w:t>
            </w:r>
            <w:r>
              <w:rPr>
                <w:rFonts w:hint="eastAsia" w:ascii="宋体" w:hAnsi="宋体"/>
                <w:sz w:val="18"/>
                <w:szCs w:val="18"/>
                <w:lang w:eastAsia="zh-CN"/>
              </w:rPr>
              <w:t>。</w:t>
            </w:r>
          </w:p>
        </w:tc>
      </w:tr>
    </w:tbl>
    <w:p w14:paraId="2126BE24">
      <w:r>
        <w:br w:type="page"/>
      </w:r>
    </w:p>
    <w:p w14:paraId="39312036">
      <w:pPr>
        <w:jc w:val="center"/>
      </w:pPr>
      <w:r>
        <w:rPr>
          <w:rFonts w:hint="eastAsia" w:ascii="黑体" w:hAnsi="黑体" w:eastAsia="黑体" w:cs="Arial"/>
          <w:szCs w:val="21"/>
        </w:rPr>
        <w:t>表D.1（续）</w:t>
      </w:r>
    </w:p>
    <w:tbl>
      <w:tblPr>
        <w:tblStyle w:val="4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0"/>
        <w:gridCol w:w="2410"/>
        <w:gridCol w:w="2268"/>
        <w:gridCol w:w="2403"/>
      </w:tblGrid>
      <w:tr w14:paraId="3B7C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vMerge w:val="restart"/>
            <w:tcBorders>
              <w:tl2br w:val="nil"/>
            </w:tcBorders>
            <w:shd w:val="clear" w:color="auto" w:fill="auto"/>
          </w:tcPr>
          <w:p w14:paraId="7156A2BF">
            <w:pPr>
              <w:jc w:val="center"/>
              <w:rPr>
                <w:rFonts w:ascii="宋体" w:hAnsi="宋体"/>
                <w:sz w:val="18"/>
                <w:szCs w:val="18"/>
              </w:rPr>
            </w:pPr>
            <w:r>
              <w:rPr>
                <w:rFonts w:hint="eastAsia" w:ascii="宋体" w:hAnsi="宋体"/>
                <w:sz w:val="18"/>
                <w:szCs w:val="18"/>
              </w:rPr>
              <w:t>因数</w:t>
            </w:r>
          </w:p>
          <w:p w14:paraId="0B9764FE">
            <w:pPr>
              <w:jc w:val="center"/>
              <w:rPr>
                <w:rFonts w:ascii="宋体" w:hAnsi="宋体"/>
                <w:sz w:val="18"/>
                <w:szCs w:val="18"/>
              </w:rPr>
            </w:pPr>
            <w:r>
              <w:rPr>
                <w:rFonts w:hint="eastAsia" w:ascii="宋体" w:hAnsi="宋体"/>
                <w:sz w:val="18"/>
                <w:szCs w:val="18"/>
              </w:rPr>
              <w:t>（见C.3.5）</w:t>
            </w:r>
          </w:p>
        </w:tc>
        <w:tc>
          <w:tcPr>
            <w:tcW w:w="7081" w:type="dxa"/>
            <w:gridSpan w:val="3"/>
            <w:shd w:val="clear" w:color="auto" w:fill="auto"/>
            <w:vAlign w:val="center"/>
          </w:tcPr>
          <w:p w14:paraId="2A0B4891">
            <w:pPr>
              <w:jc w:val="center"/>
              <w:rPr>
                <w:rFonts w:ascii="宋体" w:hAnsi="宋体"/>
                <w:sz w:val="18"/>
                <w:szCs w:val="18"/>
              </w:rPr>
            </w:pPr>
            <w:r>
              <w:rPr>
                <w:rFonts w:hint="eastAsia" w:ascii="宋体" w:hAnsi="宋体"/>
                <w:sz w:val="18"/>
                <w:szCs w:val="18"/>
              </w:rPr>
              <w:t>对工作量的影响</w:t>
            </w:r>
          </w:p>
        </w:tc>
      </w:tr>
      <w:tr w14:paraId="6A90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vMerge w:val="continue"/>
            <w:tcBorders>
              <w:tl2br w:val="nil"/>
            </w:tcBorders>
            <w:shd w:val="clear" w:color="auto" w:fill="auto"/>
          </w:tcPr>
          <w:p w14:paraId="5B44DD07">
            <w:pPr>
              <w:rPr>
                <w:rFonts w:ascii="宋体" w:hAnsi="宋体"/>
                <w:sz w:val="18"/>
                <w:szCs w:val="18"/>
              </w:rPr>
            </w:pPr>
          </w:p>
        </w:tc>
        <w:tc>
          <w:tcPr>
            <w:tcW w:w="2410" w:type="dxa"/>
            <w:shd w:val="clear" w:color="auto" w:fill="auto"/>
            <w:vAlign w:val="center"/>
          </w:tcPr>
          <w:p w14:paraId="4698D8A2">
            <w:pPr>
              <w:jc w:val="center"/>
              <w:rPr>
                <w:rFonts w:ascii="宋体" w:hAnsi="宋体"/>
                <w:sz w:val="18"/>
                <w:szCs w:val="18"/>
              </w:rPr>
            </w:pPr>
            <w:r>
              <w:rPr>
                <w:rFonts w:hint="eastAsia" w:ascii="宋体" w:hAnsi="宋体"/>
                <w:sz w:val="18"/>
                <w:szCs w:val="18"/>
              </w:rPr>
              <w:t>减少工作量</w:t>
            </w:r>
          </w:p>
        </w:tc>
        <w:tc>
          <w:tcPr>
            <w:tcW w:w="2268" w:type="dxa"/>
            <w:shd w:val="clear" w:color="auto" w:fill="auto"/>
            <w:vAlign w:val="center"/>
          </w:tcPr>
          <w:p w14:paraId="715193A6">
            <w:pPr>
              <w:jc w:val="center"/>
              <w:rPr>
                <w:rFonts w:ascii="宋体" w:hAnsi="宋体"/>
                <w:sz w:val="18"/>
                <w:szCs w:val="18"/>
              </w:rPr>
            </w:pPr>
            <w:r>
              <w:rPr>
                <w:rFonts w:ascii="宋体" w:hAnsi="宋体"/>
                <w:sz w:val="18"/>
                <w:szCs w:val="18"/>
              </w:rPr>
              <w:t>正常工作量</w:t>
            </w:r>
          </w:p>
        </w:tc>
        <w:tc>
          <w:tcPr>
            <w:tcW w:w="2403" w:type="dxa"/>
            <w:shd w:val="clear" w:color="auto" w:fill="auto"/>
            <w:vAlign w:val="center"/>
          </w:tcPr>
          <w:p w14:paraId="4DE6563B">
            <w:pPr>
              <w:jc w:val="center"/>
              <w:rPr>
                <w:rFonts w:ascii="宋体" w:hAnsi="宋体"/>
                <w:sz w:val="18"/>
                <w:szCs w:val="18"/>
              </w:rPr>
            </w:pPr>
            <w:r>
              <w:rPr>
                <w:rFonts w:ascii="宋体" w:hAnsi="宋体"/>
                <w:sz w:val="18"/>
                <w:szCs w:val="18"/>
              </w:rPr>
              <w:t>增加工作量</w:t>
            </w:r>
          </w:p>
        </w:tc>
      </w:tr>
      <w:tr w14:paraId="7EE3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shd w:val="clear" w:color="auto" w:fill="auto"/>
          </w:tcPr>
          <w:p w14:paraId="6DFA5910">
            <w:pPr>
              <w:rPr>
                <w:rFonts w:ascii="宋体" w:hAnsi="宋体"/>
                <w:sz w:val="18"/>
                <w:szCs w:val="18"/>
              </w:rPr>
            </w:pPr>
            <w:r>
              <w:rPr>
                <w:rFonts w:hint="eastAsia" w:ascii="宋体" w:hAnsi="宋体"/>
                <w:sz w:val="18"/>
                <w:szCs w:val="18"/>
              </w:rPr>
              <w:t>e）ISMS范围内所使用的外包和第三方安排的程度</w:t>
            </w:r>
          </w:p>
        </w:tc>
        <w:tc>
          <w:tcPr>
            <w:tcW w:w="2410" w:type="dxa"/>
            <w:shd w:val="clear" w:color="auto" w:fill="auto"/>
          </w:tcPr>
          <w:p w14:paraId="79E4A90B">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没有外包且对供应商的依赖较小</w:t>
            </w:r>
            <w:r>
              <w:rPr>
                <w:rFonts w:hint="eastAsia" w:ascii="宋体" w:hAnsi="宋体"/>
                <w:sz w:val="18"/>
                <w:szCs w:val="18"/>
                <w:lang w:eastAsia="zh-CN"/>
              </w:rPr>
              <w:t>；</w:t>
            </w:r>
          </w:p>
          <w:p w14:paraId="36310E0F">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对外包协议进行了明确的规定、良好的管理</w:t>
            </w:r>
            <w:r>
              <w:rPr>
                <w:rFonts w:hint="eastAsia" w:ascii="宋体" w:hAnsi="宋体"/>
                <w:sz w:val="18"/>
                <w:szCs w:val="18"/>
                <w:lang w:val="en-US" w:eastAsia="zh-CN"/>
              </w:rPr>
              <w:t>和</w:t>
            </w:r>
            <w:r>
              <w:rPr>
                <w:rFonts w:hint="eastAsia" w:ascii="宋体" w:hAnsi="宋体"/>
                <w:sz w:val="18"/>
                <w:szCs w:val="18"/>
              </w:rPr>
              <w:t>监视；</w:t>
            </w:r>
          </w:p>
          <w:p w14:paraId="64770D88">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外包方获得了ISMS认证；</w:t>
            </w:r>
          </w:p>
          <w:p w14:paraId="122EAE49">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可获得相关的独立</w:t>
            </w:r>
            <w:r>
              <w:rPr>
                <w:rFonts w:hint="eastAsia" w:ascii="宋体" w:hAnsi="宋体"/>
                <w:sz w:val="18"/>
                <w:szCs w:val="18"/>
                <w:lang w:val="en-US" w:eastAsia="zh-CN"/>
              </w:rPr>
              <w:t>保证</w:t>
            </w:r>
            <w:r>
              <w:rPr>
                <w:rFonts w:hint="eastAsia" w:ascii="宋体" w:hAnsi="宋体"/>
                <w:sz w:val="18"/>
                <w:szCs w:val="18"/>
              </w:rPr>
              <w:t>报告</w:t>
            </w:r>
            <w:r>
              <w:rPr>
                <w:rFonts w:hint="eastAsia" w:ascii="宋体" w:hAnsi="宋体"/>
                <w:sz w:val="18"/>
                <w:szCs w:val="18"/>
                <w:lang w:eastAsia="zh-CN"/>
              </w:rPr>
              <w:t>。</w:t>
            </w:r>
          </w:p>
        </w:tc>
        <w:tc>
          <w:tcPr>
            <w:tcW w:w="2268" w:type="dxa"/>
            <w:shd w:val="clear" w:color="auto" w:fill="auto"/>
          </w:tcPr>
          <w:p w14:paraId="589EA825">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多个管理不充分的外包协议</w:t>
            </w:r>
            <w:r>
              <w:rPr>
                <w:rFonts w:hint="eastAsia" w:ascii="宋体" w:hAnsi="宋体"/>
                <w:sz w:val="18"/>
                <w:szCs w:val="18"/>
                <w:lang w:eastAsia="zh-CN"/>
              </w:rPr>
              <w:t>。</w:t>
            </w:r>
          </w:p>
        </w:tc>
        <w:tc>
          <w:tcPr>
            <w:tcW w:w="2403" w:type="dxa"/>
            <w:shd w:val="clear" w:color="auto" w:fill="auto"/>
          </w:tcPr>
          <w:p w14:paraId="011BAD9A">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高度依赖外包或供应商，它们对重要业务活动有很大影响；</w:t>
            </w:r>
          </w:p>
          <w:p w14:paraId="25103479">
            <w:pPr>
              <w:numPr>
                <w:ilvl w:val="0"/>
                <w:numId w:val="0"/>
              </w:numPr>
              <w:ind w:left="420" w:hanging="420" w:hangingChars="200"/>
              <w:rPr>
                <w:rFonts w:hint="eastAsia" w:ascii="宋体" w:hAnsi="宋体"/>
                <w:sz w:val="18"/>
                <w:szCs w:val="18"/>
              </w:rPr>
            </w:pPr>
            <w:r>
              <w:rPr>
                <w:szCs w:val="21"/>
              </w:rPr>
              <w:t>——</w:t>
            </w:r>
            <w:r>
              <w:rPr>
                <w:rFonts w:hint="eastAsia" w:ascii="宋体" w:hAnsi="宋体"/>
                <w:sz w:val="18"/>
                <w:szCs w:val="18"/>
              </w:rPr>
              <w:t>对外部的数量或程度不清楚；</w:t>
            </w:r>
          </w:p>
          <w:p w14:paraId="4105FC31">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多个未得到管理的外包协议</w:t>
            </w:r>
            <w:r>
              <w:rPr>
                <w:rFonts w:hint="eastAsia" w:ascii="宋体" w:hAnsi="宋体"/>
                <w:sz w:val="18"/>
                <w:szCs w:val="18"/>
                <w:lang w:eastAsia="zh-CN"/>
              </w:rPr>
              <w:t>。</w:t>
            </w:r>
          </w:p>
        </w:tc>
      </w:tr>
      <w:tr w14:paraId="1E64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shd w:val="clear" w:color="auto" w:fill="auto"/>
          </w:tcPr>
          <w:p w14:paraId="145E4433">
            <w:pPr>
              <w:rPr>
                <w:rFonts w:ascii="宋体" w:hAnsi="宋体"/>
                <w:sz w:val="18"/>
                <w:szCs w:val="18"/>
              </w:rPr>
            </w:pPr>
            <w:r>
              <w:rPr>
                <w:rFonts w:hint="eastAsia" w:ascii="宋体" w:hAnsi="宋体"/>
                <w:sz w:val="18"/>
                <w:szCs w:val="18"/>
              </w:rPr>
              <w:t>f）信息系统开发程度</w:t>
            </w:r>
          </w:p>
        </w:tc>
        <w:tc>
          <w:tcPr>
            <w:tcW w:w="2410" w:type="dxa"/>
            <w:shd w:val="clear" w:color="auto" w:fill="auto"/>
          </w:tcPr>
          <w:p w14:paraId="620437B0">
            <w:pPr>
              <w:numPr>
                <w:ilvl w:val="0"/>
                <w:numId w:val="0"/>
              </w:numPr>
              <w:ind w:left="420" w:hanging="420" w:hangingChars="200"/>
              <w:rPr>
                <w:rFonts w:hint="eastAsia" w:ascii="宋体" w:hAnsi="宋体" w:eastAsia="宋体"/>
                <w:sz w:val="18"/>
                <w:szCs w:val="18"/>
                <w:lang w:eastAsia="zh-CN"/>
              </w:rPr>
            </w:pPr>
            <w:r>
              <w:rPr>
                <w:szCs w:val="21"/>
              </w:rPr>
              <w:t>——</w:t>
            </w:r>
            <w:r>
              <w:rPr>
                <w:rFonts w:hint="eastAsia" w:ascii="宋体" w:hAnsi="宋体"/>
                <w:sz w:val="18"/>
                <w:szCs w:val="18"/>
              </w:rPr>
              <w:t>没有内部的系统开发</w:t>
            </w:r>
            <w:r>
              <w:rPr>
                <w:rFonts w:hint="eastAsia" w:ascii="宋体" w:hAnsi="宋体"/>
                <w:sz w:val="18"/>
                <w:szCs w:val="18"/>
                <w:lang w:eastAsia="zh-CN"/>
              </w:rPr>
              <w:t>；</w:t>
            </w:r>
          </w:p>
          <w:p w14:paraId="348B6808">
            <w:pPr>
              <w:numPr>
                <w:ilvl w:val="0"/>
                <w:numId w:val="0"/>
              </w:numPr>
              <w:ind w:left="420" w:hanging="420" w:hangingChars="200"/>
              <w:rPr>
                <w:rFonts w:hint="eastAsia" w:ascii="宋体" w:hAnsi="宋体" w:eastAsia="宋体"/>
                <w:sz w:val="18"/>
                <w:szCs w:val="18"/>
                <w:lang w:eastAsia="zh-CN"/>
              </w:rPr>
            </w:pPr>
            <w:r>
              <w:rPr>
                <w:szCs w:val="21"/>
              </w:rPr>
              <w:t>——</w:t>
            </w:r>
            <w:r>
              <w:rPr>
                <w:rFonts w:hint="eastAsia" w:ascii="宋体" w:hAnsi="宋体"/>
                <w:sz w:val="18"/>
                <w:szCs w:val="18"/>
              </w:rPr>
              <w:t>使用标准化的软件平台</w:t>
            </w:r>
            <w:r>
              <w:rPr>
                <w:rFonts w:hint="eastAsia" w:ascii="宋体" w:hAnsi="宋体"/>
                <w:sz w:val="18"/>
                <w:szCs w:val="18"/>
                <w:lang w:eastAsia="zh-CN"/>
              </w:rPr>
              <w:t>。</w:t>
            </w:r>
          </w:p>
        </w:tc>
        <w:tc>
          <w:tcPr>
            <w:tcW w:w="2268" w:type="dxa"/>
            <w:shd w:val="clear" w:color="auto" w:fill="auto"/>
          </w:tcPr>
          <w:p w14:paraId="2410E0B2">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使用标准化的、具有复杂配置/参数化的平台；</w:t>
            </w:r>
          </w:p>
          <w:p w14:paraId="3D2B0AF1">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（高度）定制软件；</w:t>
            </w:r>
          </w:p>
          <w:p w14:paraId="3167B0B0">
            <w:pPr>
              <w:numPr>
                <w:ilvl w:val="0"/>
                <w:numId w:val="0"/>
              </w:numPr>
              <w:ind w:left="420" w:hanging="420" w:hangingChars="200"/>
              <w:rPr>
                <w:rFonts w:hint="eastAsia" w:ascii="宋体" w:hAnsi="宋体" w:eastAsia="宋体"/>
                <w:sz w:val="18"/>
                <w:szCs w:val="18"/>
                <w:lang w:eastAsia="zh-CN"/>
              </w:rPr>
            </w:pPr>
            <w:r>
              <w:rPr>
                <w:szCs w:val="21"/>
              </w:rPr>
              <w:t>——</w:t>
            </w:r>
            <w:r>
              <w:rPr>
                <w:rFonts w:hint="eastAsia" w:ascii="宋体" w:hAnsi="宋体"/>
                <w:sz w:val="18"/>
                <w:szCs w:val="18"/>
              </w:rPr>
              <w:t>若干开发活动（内部的或外包的）</w:t>
            </w:r>
            <w:r>
              <w:rPr>
                <w:rFonts w:hint="eastAsia" w:ascii="宋体" w:hAnsi="宋体"/>
                <w:sz w:val="18"/>
                <w:szCs w:val="18"/>
                <w:lang w:eastAsia="zh-CN"/>
              </w:rPr>
              <w:t>。</w:t>
            </w:r>
          </w:p>
        </w:tc>
        <w:tc>
          <w:tcPr>
            <w:tcW w:w="2403" w:type="dxa"/>
            <w:shd w:val="clear" w:color="auto" w:fill="auto"/>
          </w:tcPr>
          <w:p w14:paraId="00954E92">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大量的内部软件开发活动，有若干正在</w:t>
            </w:r>
            <w:r>
              <w:rPr>
                <w:rFonts w:ascii="宋体" w:hAnsi="宋体"/>
                <w:sz w:val="18"/>
                <w:szCs w:val="18"/>
              </w:rPr>
              <w:t>实施</w:t>
            </w:r>
            <w:r>
              <w:rPr>
                <w:rFonts w:hint="eastAsia" w:ascii="宋体" w:hAnsi="宋体"/>
                <w:sz w:val="18"/>
                <w:szCs w:val="18"/>
              </w:rPr>
              <w:t>的、针对重大业务目的的项目。</w:t>
            </w:r>
          </w:p>
        </w:tc>
      </w:tr>
      <w:tr w14:paraId="2C70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shd w:val="clear" w:color="auto" w:fill="auto"/>
          </w:tcPr>
          <w:p w14:paraId="0E9E61AC">
            <w:pPr>
              <w:rPr>
                <w:rFonts w:ascii="宋体" w:hAnsi="宋体"/>
                <w:sz w:val="18"/>
                <w:szCs w:val="18"/>
              </w:rPr>
            </w:pPr>
            <w:r>
              <w:rPr>
                <w:rFonts w:hint="eastAsia" w:ascii="宋体" w:hAnsi="宋体"/>
                <w:sz w:val="18"/>
                <w:szCs w:val="18"/>
              </w:rPr>
              <w:t>g）场所数量和灾难恢复场所数量</w:t>
            </w:r>
          </w:p>
        </w:tc>
        <w:tc>
          <w:tcPr>
            <w:tcW w:w="2410" w:type="dxa"/>
            <w:shd w:val="clear" w:color="auto" w:fill="auto"/>
          </w:tcPr>
          <w:p w14:paraId="2DD31BD7">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较低的可用性要求，且没有或有一个可选的灾难恢复场所</w:t>
            </w:r>
            <w:r>
              <w:rPr>
                <w:rFonts w:hint="eastAsia" w:ascii="宋体" w:hAnsi="宋体"/>
                <w:sz w:val="18"/>
                <w:szCs w:val="18"/>
                <w:lang w:eastAsia="zh-CN"/>
              </w:rPr>
              <w:t>。</w:t>
            </w:r>
          </w:p>
        </w:tc>
        <w:tc>
          <w:tcPr>
            <w:tcW w:w="2268" w:type="dxa"/>
            <w:shd w:val="clear" w:color="auto" w:fill="auto"/>
          </w:tcPr>
          <w:p w14:paraId="4D9F35BB">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中等或高的可用性要求，且没有或有一个可选的灾难恢复场所</w:t>
            </w:r>
            <w:r>
              <w:rPr>
                <w:rFonts w:hint="eastAsia" w:ascii="宋体" w:hAnsi="宋体"/>
                <w:sz w:val="18"/>
                <w:szCs w:val="18"/>
                <w:lang w:eastAsia="zh-CN"/>
              </w:rPr>
              <w:t>。</w:t>
            </w:r>
          </w:p>
        </w:tc>
        <w:tc>
          <w:tcPr>
            <w:tcW w:w="2403" w:type="dxa"/>
            <w:shd w:val="clear" w:color="auto" w:fill="auto"/>
          </w:tcPr>
          <w:p w14:paraId="097F3B0F">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高可用性要求，例如</w:t>
            </w:r>
            <w:r>
              <w:rPr>
                <w:rFonts w:hint="eastAsia" w:ascii="宋体" w:hAnsi="宋体"/>
                <w:sz w:val="18"/>
                <w:szCs w:val="18"/>
                <w:lang w:eastAsia="zh-CN"/>
              </w:rPr>
              <w:t>，</w:t>
            </w:r>
            <w:r>
              <w:rPr>
                <w:rFonts w:hint="eastAsia" w:ascii="宋体" w:hAnsi="宋体"/>
                <w:sz w:val="18"/>
                <w:szCs w:val="18"/>
              </w:rPr>
              <w:t xml:space="preserve">7×24服务； </w:t>
            </w:r>
          </w:p>
          <w:p w14:paraId="0CE8E06E">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若干个可选的灾难恢复场所；</w:t>
            </w:r>
          </w:p>
          <w:p w14:paraId="035CAF9D">
            <w:pPr>
              <w:numPr>
                <w:ilvl w:val="0"/>
                <w:numId w:val="0"/>
              </w:numPr>
              <w:ind w:left="0" w:firstLine="0"/>
              <w:rPr>
                <w:rFonts w:ascii="宋体" w:hAnsi="宋体"/>
                <w:sz w:val="18"/>
                <w:szCs w:val="18"/>
              </w:rPr>
            </w:pPr>
            <w:r>
              <w:rPr>
                <w:szCs w:val="21"/>
              </w:rPr>
              <w:t>——</w:t>
            </w:r>
            <w:r>
              <w:rPr>
                <w:rFonts w:hint="eastAsia" w:ascii="宋体" w:hAnsi="宋体"/>
                <w:sz w:val="18"/>
                <w:szCs w:val="18"/>
              </w:rPr>
              <w:t>若干个数据中心</w:t>
            </w:r>
            <w:r>
              <w:rPr>
                <w:rFonts w:hint="eastAsia" w:ascii="宋体" w:hAnsi="宋体"/>
                <w:sz w:val="18"/>
                <w:szCs w:val="18"/>
                <w:lang w:eastAsia="zh-CN"/>
              </w:rPr>
              <w:t>。</w:t>
            </w:r>
          </w:p>
        </w:tc>
      </w:tr>
      <w:tr w14:paraId="6517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shd w:val="clear" w:color="auto" w:fill="auto"/>
          </w:tcPr>
          <w:p w14:paraId="755CB73B">
            <w:pPr>
              <w:rPr>
                <w:rFonts w:hint="eastAsia" w:ascii="宋体" w:hAnsi="宋体"/>
                <w:sz w:val="18"/>
                <w:szCs w:val="18"/>
              </w:rPr>
            </w:pPr>
            <w:r>
              <w:rPr>
                <w:rFonts w:hint="eastAsia" w:ascii="宋体" w:hAnsi="宋体"/>
                <w:sz w:val="18"/>
                <w:szCs w:val="18"/>
              </w:rPr>
              <w:t>h)控制的数量和复杂性</w:t>
            </w:r>
          </w:p>
        </w:tc>
        <w:tc>
          <w:tcPr>
            <w:tcW w:w="2410" w:type="dxa"/>
            <w:shd w:val="clear" w:color="auto" w:fill="auto"/>
          </w:tcPr>
          <w:p w14:paraId="034F9DB2">
            <w:pPr>
              <w:numPr>
                <w:ilvl w:val="0"/>
                <w:numId w:val="0"/>
              </w:numPr>
              <w:ind w:left="420" w:hanging="420" w:hangingChars="200"/>
              <w:rPr>
                <w:rFonts w:hint="eastAsia" w:eastAsia="宋体"/>
                <w:lang w:eastAsia="zh-CN"/>
              </w:rPr>
            </w:pPr>
            <w:r>
              <w:rPr>
                <w:szCs w:val="21"/>
              </w:rPr>
              <w:t>——</w:t>
            </w:r>
            <w:r>
              <w:rPr>
                <w:rFonts w:hint="eastAsia" w:ascii="宋体" w:hAnsi="宋体"/>
                <w:sz w:val="18"/>
                <w:szCs w:val="18"/>
              </w:rPr>
              <w:t>控制数量比</w:t>
            </w:r>
            <w:r>
              <w:rPr>
                <w:rFonts w:hint="eastAsia" w:ascii="宋体" w:hAnsi="宋体"/>
                <w:sz w:val="18"/>
                <w:szCs w:val="18"/>
                <w:lang w:val="en-US" w:eastAsia="zh-CN"/>
              </w:rPr>
              <w:t>平常</w:t>
            </w:r>
            <w:r>
              <w:rPr>
                <w:rFonts w:hint="eastAsia" w:ascii="宋体" w:hAnsi="宋体"/>
                <w:sz w:val="18"/>
                <w:szCs w:val="18"/>
              </w:rPr>
              <w:t>的少，不包括一些常见的控制域</w:t>
            </w:r>
            <w:r>
              <w:rPr>
                <w:rFonts w:hint="eastAsia" w:ascii="宋体" w:hAnsi="宋体"/>
                <w:sz w:val="18"/>
                <w:szCs w:val="18"/>
                <w:lang w:eastAsia="zh-CN"/>
              </w:rPr>
              <w:t>。</w:t>
            </w:r>
            <w:r>
              <w:rPr>
                <w:rFonts w:hint="eastAsia" w:ascii="宋体" w:hAnsi="宋体"/>
                <w:sz w:val="18"/>
                <w:szCs w:val="18"/>
              </w:rPr>
              <w:t>例如，没有系统开发控制或没有物理控制</w:t>
            </w:r>
            <w:r>
              <w:rPr>
                <w:rFonts w:hint="eastAsia" w:ascii="宋体" w:hAnsi="宋体"/>
                <w:sz w:val="18"/>
                <w:szCs w:val="18"/>
                <w:lang w:eastAsia="zh-CN"/>
              </w:rPr>
              <w:t>。</w:t>
            </w:r>
          </w:p>
        </w:tc>
        <w:tc>
          <w:tcPr>
            <w:tcW w:w="2268" w:type="dxa"/>
            <w:shd w:val="clear" w:color="auto" w:fill="auto"/>
          </w:tcPr>
          <w:p w14:paraId="692725D8">
            <w:pPr>
              <w:numPr>
                <w:ilvl w:val="0"/>
                <w:numId w:val="0"/>
              </w:numPr>
              <w:ind w:left="420" w:hanging="420" w:hangingChars="200"/>
              <w:rPr>
                <w:rFonts w:hint="eastAsia" w:eastAsia="宋体"/>
                <w:lang w:eastAsia="zh-CN"/>
              </w:rPr>
            </w:pPr>
            <w:r>
              <w:rPr>
                <w:szCs w:val="21"/>
              </w:rPr>
              <w:t>——</w:t>
            </w:r>
            <w:r>
              <w:rPr>
                <w:rFonts w:hint="eastAsia" w:ascii="宋体" w:hAnsi="宋体"/>
                <w:sz w:val="18"/>
                <w:szCs w:val="18"/>
              </w:rPr>
              <w:t>控制数量和复杂性</w:t>
            </w:r>
            <w:r>
              <w:rPr>
                <w:rFonts w:hint="eastAsia" w:ascii="宋体" w:hAnsi="宋体"/>
                <w:sz w:val="18"/>
                <w:szCs w:val="18"/>
                <w:lang w:val="en-US" w:eastAsia="zh-CN"/>
              </w:rPr>
              <w:t>是平常的</w:t>
            </w:r>
            <w:r>
              <w:rPr>
                <w:rFonts w:hint="eastAsia" w:ascii="宋体" w:hAnsi="宋体"/>
                <w:sz w:val="18"/>
                <w:szCs w:val="18"/>
                <w:lang w:eastAsia="zh-CN"/>
              </w:rPr>
              <w:t>。</w:t>
            </w:r>
          </w:p>
        </w:tc>
        <w:tc>
          <w:tcPr>
            <w:tcW w:w="2403" w:type="dxa"/>
            <w:shd w:val="clear" w:color="auto" w:fill="auto"/>
          </w:tcPr>
          <w:p w14:paraId="3FFF54E4">
            <w:pPr>
              <w:numPr>
                <w:ilvl w:val="0"/>
                <w:numId w:val="0"/>
              </w:numPr>
              <w:ind w:left="420" w:hanging="420" w:hangingChars="200"/>
              <w:rPr>
                <w:rFonts w:hint="eastAsia" w:eastAsia="宋体"/>
                <w:lang w:eastAsia="zh-CN"/>
              </w:rPr>
            </w:pPr>
            <w:r>
              <w:rPr>
                <w:szCs w:val="21"/>
              </w:rPr>
              <w:t>——</w:t>
            </w:r>
            <w:r>
              <w:rPr>
                <w:rFonts w:hint="eastAsia" w:ascii="宋体" w:hAnsi="宋体"/>
                <w:sz w:val="18"/>
                <w:szCs w:val="18"/>
                <w:lang w:val="en-US" w:eastAsia="zh-CN"/>
              </w:rPr>
              <w:t>数量比平常的多且</w:t>
            </w:r>
            <w:r>
              <w:rPr>
                <w:rFonts w:hint="eastAsia" w:ascii="宋体" w:hAnsi="宋体"/>
                <w:sz w:val="18"/>
                <w:szCs w:val="18"/>
              </w:rPr>
              <w:t>详细和复杂的控制，例如</w:t>
            </w:r>
            <w:r>
              <w:rPr>
                <w:rFonts w:hint="eastAsia" w:ascii="宋体" w:hAnsi="宋体"/>
                <w:sz w:val="18"/>
                <w:szCs w:val="18"/>
                <w:lang w:eastAsia="zh-CN"/>
              </w:rPr>
              <w:t>，</w:t>
            </w:r>
            <w:r>
              <w:rPr>
                <w:rFonts w:hint="eastAsia" w:ascii="宋体" w:hAnsi="宋体"/>
                <w:sz w:val="18"/>
                <w:szCs w:val="18"/>
              </w:rPr>
              <w:t>许多与网络协议或</w:t>
            </w:r>
            <w:r>
              <w:rPr>
                <w:rFonts w:hint="eastAsia" w:ascii="宋体" w:hAnsi="宋体"/>
                <w:sz w:val="18"/>
                <w:szCs w:val="18"/>
                <w:lang w:val="en-US" w:eastAsia="zh-CN"/>
              </w:rPr>
              <w:t>密码</w:t>
            </w:r>
            <w:r>
              <w:rPr>
                <w:rFonts w:hint="eastAsia" w:ascii="宋体" w:hAnsi="宋体"/>
                <w:sz w:val="18"/>
                <w:szCs w:val="18"/>
              </w:rPr>
              <w:t>相关的控制</w:t>
            </w:r>
            <w:r>
              <w:rPr>
                <w:rFonts w:hint="eastAsia" w:ascii="宋体" w:hAnsi="宋体"/>
                <w:sz w:val="18"/>
                <w:szCs w:val="18"/>
                <w:lang w:eastAsia="zh-CN"/>
              </w:rPr>
              <w:t>。</w:t>
            </w:r>
          </w:p>
        </w:tc>
      </w:tr>
      <w:tr w14:paraId="1D1C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shd w:val="clear" w:color="auto" w:fill="auto"/>
          </w:tcPr>
          <w:p w14:paraId="524A3F5F">
            <w:pPr>
              <w:rPr>
                <w:rFonts w:ascii="宋体" w:hAnsi="宋体"/>
                <w:sz w:val="18"/>
                <w:szCs w:val="18"/>
              </w:rPr>
            </w:pPr>
            <w:r>
              <w:rPr>
                <w:rFonts w:hint="eastAsia" w:ascii="宋体" w:hAnsi="宋体"/>
                <w:sz w:val="18"/>
                <w:szCs w:val="18"/>
              </w:rPr>
              <w:t>i）对于监督或再认证审核：GB/T 27021.1-201</w:t>
            </w:r>
            <w:r>
              <w:rPr>
                <w:rFonts w:ascii="宋体" w:hAnsi="宋体"/>
                <w:sz w:val="18"/>
                <w:szCs w:val="18"/>
              </w:rPr>
              <w:t>7</w:t>
            </w:r>
            <w:r>
              <w:rPr>
                <w:rFonts w:hint="eastAsia" w:ascii="宋体" w:hAnsi="宋体"/>
                <w:sz w:val="18"/>
                <w:szCs w:val="18"/>
              </w:rPr>
              <w:t xml:space="preserve"> 8.5.3</w:t>
            </w:r>
            <w:r>
              <w:rPr>
                <w:rFonts w:hint="eastAsia" w:ascii="宋体" w:hAnsi="宋体"/>
                <w:sz w:val="18"/>
                <w:szCs w:val="18"/>
                <w:lang w:val="en-US" w:eastAsia="zh-CN"/>
              </w:rPr>
              <w:t>中所述的</w:t>
            </w:r>
            <w:r>
              <w:rPr>
                <w:rFonts w:hint="eastAsia" w:ascii="宋体" w:hAnsi="宋体"/>
                <w:sz w:val="18"/>
                <w:szCs w:val="18"/>
              </w:rPr>
              <w:t>ISMS相关变更的数量和程度。</w:t>
            </w:r>
          </w:p>
        </w:tc>
        <w:tc>
          <w:tcPr>
            <w:tcW w:w="2410" w:type="dxa"/>
            <w:shd w:val="clear" w:color="auto" w:fill="auto"/>
          </w:tcPr>
          <w:p w14:paraId="4EDF9747">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自上次再认证审核后未发生变化</w:t>
            </w:r>
            <w:r>
              <w:rPr>
                <w:rFonts w:hint="eastAsia" w:ascii="宋体" w:hAnsi="宋体"/>
                <w:sz w:val="18"/>
                <w:szCs w:val="18"/>
                <w:lang w:eastAsia="zh-CN"/>
              </w:rPr>
              <w:t>。</w:t>
            </w:r>
          </w:p>
        </w:tc>
        <w:tc>
          <w:tcPr>
            <w:tcW w:w="2268" w:type="dxa"/>
            <w:shd w:val="clear" w:color="auto" w:fill="auto"/>
          </w:tcPr>
          <w:p w14:paraId="3921788A">
            <w:pPr>
              <w:numPr>
                <w:ilvl w:val="0"/>
                <w:numId w:val="0"/>
              </w:numPr>
              <w:ind w:left="420" w:hanging="420" w:hangingChars="200"/>
              <w:rPr>
                <w:rFonts w:ascii="宋体" w:hAnsi="宋体"/>
                <w:sz w:val="18"/>
                <w:szCs w:val="18"/>
              </w:rPr>
            </w:pPr>
            <w:r>
              <w:rPr>
                <w:szCs w:val="21"/>
              </w:rPr>
              <w:t>——</w:t>
            </w:r>
            <w:r>
              <w:rPr>
                <w:rFonts w:hint="eastAsia" w:ascii="宋体" w:hAnsi="宋体"/>
                <w:sz w:val="18"/>
                <w:szCs w:val="18"/>
              </w:rPr>
              <w:t>ISMS范围或适用性声明有微小的变化，例如，一些策略、文件发生变化；</w:t>
            </w:r>
          </w:p>
          <w:p w14:paraId="0F596703">
            <w:pPr>
              <w:numPr>
                <w:ilvl w:val="0"/>
                <w:numId w:val="0"/>
              </w:numPr>
              <w:ind w:left="0" w:firstLine="0"/>
              <w:rPr>
                <w:rFonts w:ascii="宋体" w:hAnsi="宋体"/>
                <w:sz w:val="18"/>
                <w:szCs w:val="18"/>
              </w:rPr>
            </w:pPr>
            <w:r>
              <w:rPr>
                <w:szCs w:val="21"/>
              </w:rPr>
              <w:t>——</w:t>
            </w:r>
            <w:r>
              <w:rPr>
                <w:rFonts w:hint="eastAsia" w:ascii="宋体" w:hAnsi="宋体"/>
                <w:sz w:val="18"/>
                <w:szCs w:val="18"/>
              </w:rPr>
              <w:t>以上因素有微小变化</w:t>
            </w:r>
            <w:r>
              <w:rPr>
                <w:rFonts w:hint="eastAsia" w:ascii="宋体" w:hAnsi="宋体"/>
                <w:sz w:val="18"/>
                <w:szCs w:val="18"/>
                <w:lang w:eastAsia="zh-CN"/>
              </w:rPr>
              <w:t>。</w:t>
            </w:r>
          </w:p>
        </w:tc>
        <w:tc>
          <w:tcPr>
            <w:tcW w:w="2403" w:type="dxa"/>
            <w:shd w:val="clear" w:color="auto" w:fill="auto"/>
          </w:tcPr>
          <w:p w14:paraId="41DC97B9">
            <w:pPr>
              <w:numPr>
                <w:ilvl w:val="0"/>
                <w:numId w:val="0"/>
              </w:numPr>
              <w:ind w:left="420" w:hanging="420" w:hangingChars="200"/>
              <w:rPr>
                <w:rFonts w:ascii="Times New Roman" w:hAnsi="Times New Roman"/>
                <w:sz w:val="21"/>
                <w:szCs w:val="21"/>
              </w:rPr>
            </w:pPr>
            <w:r>
              <w:rPr>
                <w:szCs w:val="21"/>
              </w:rPr>
              <w:t>——</w:t>
            </w:r>
            <w:r>
              <w:rPr>
                <w:rFonts w:hint="eastAsia" w:asciiTheme="minorEastAsia" w:hAnsiTheme="minorEastAsia" w:eastAsiaTheme="minorEastAsia" w:cstheme="minorEastAsia"/>
                <w:sz w:val="18"/>
                <w:szCs w:val="18"/>
              </w:rPr>
              <w:t>ISMS</w:t>
            </w:r>
            <w:r>
              <w:rPr>
                <w:rFonts w:hint="default" w:ascii="Times New Roman" w:hAnsi="Times New Roman"/>
                <w:sz w:val="18"/>
                <w:szCs w:val="18"/>
              </w:rPr>
              <w:t>范围或适用性声明有重大变化，例如，新的过程、新的业务单元、区域、风险评估管理方法、策略、文件、风险处置</w:t>
            </w:r>
            <w:r>
              <w:rPr>
                <w:rFonts w:hint="eastAsia"/>
                <w:sz w:val="18"/>
                <w:szCs w:val="18"/>
                <w:lang w:eastAsia="zh-CN"/>
              </w:rPr>
              <w:t>；</w:t>
            </w:r>
          </w:p>
          <w:p w14:paraId="10F05F3C">
            <w:pPr>
              <w:numPr>
                <w:ilvl w:val="0"/>
                <w:numId w:val="0"/>
              </w:numPr>
              <w:ind w:left="0" w:firstLine="0"/>
              <w:rPr>
                <w:rFonts w:ascii="宋体" w:hAnsi="宋体"/>
                <w:sz w:val="18"/>
                <w:szCs w:val="18"/>
              </w:rPr>
            </w:pPr>
            <w:r>
              <w:rPr>
                <w:szCs w:val="21"/>
              </w:rPr>
              <w:t>——</w:t>
            </w:r>
            <w:r>
              <w:rPr>
                <w:rFonts w:hint="eastAsia" w:ascii="宋体" w:hAnsi="宋体"/>
                <w:sz w:val="18"/>
                <w:szCs w:val="18"/>
              </w:rPr>
              <w:t>以上因素有重大变化</w:t>
            </w:r>
            <w:r>
              <w:rPr>
                <w:rFonts w:hint="eastAsia" w:ascii="宋体" w:hAnsi="宋体"/>
                <w:sz w:val="18"/>
                <w:szCs w:val="18"/>
                <w:lang w:eastAsia="zh-CN"/>
              </w:rPr>
              <w:t>。</w:t>
            </w:r>
          </w:p>
        </w:tc>
      </w:tr>
    </w:tbl>
    <w:p w14:paraId="42226F2B">
      <w:pPr>
        <w:pStyle w:val="70"/>
        <w:numPr>
          <w:ilvl w:val="0"/>
          <w:numId w:val="0"/>
        </w:numPr>
        <w:spacing w:before="156" w:after="156"/>
        <w:rPr>
          <w:rFonts w:hAnsi="黑体"/>
          <w:lang w:val="de-DE"/>
        </w:rPr>
      </w:pPr>
      <w:r>
        <w:rPr>
          <w:rFonts w:hint="eastAsia" w:hAnsi="黑体"/>
          <w:lang w:val="de-DE"/>
        </w:rPr>
        <w:t>D.3　审核时间计算的示例</w:t>
      </w:r>
    </w:p>
    <w:p w14:paraId="14857237">
      <w:pPr>
        <w:ind w:firstLine="420" w:firstLineChars="200"/>
        <w:rPr>
          <w:rFonts w:ascii="宋体" w:hAnsi="宋体"/>
          <w:szCs w:val="21"/>
        </w:rPr>
      </w:pPr>
      <w:r>
        <w:rPr>
          <w:rFonts w:hint="eastAsia" w:ascii="宋体" w:hAnsi="宋体"/>
          <w:szCs w:val="21"/>
        </w:rPr>
        <w:t>以下示例阐述了认证机构如何使用C.3中的因数来计算审核时间。</w:t>
      </w:r>
      <w:r>
        <w:rPr>
          <w:rFonts w:hint="eastAsia" w:ascii="宋体" w:hAnsi="宋体"/>
          <w:szCs w:val="21"/>
          <w:lang w:val="en-US" w:eastAsia="zh-CN"/>
        </w:rPr>
        <w:t>本</w:t>
      </w:r>
      <w:r>
        <w:rPr>
          <w:rFonts w:hint="eastAsia" w:ascii="宋体" w:hAnsi="宋体"/>
          <w:szCs w:val="21"/>
        </w:rPr>
        <w:t>示例中的审核时间计算，是按照以下方法进行的：</w:t>
      </w:r>
    </w:p>
    <w:p w14:paraId="7D3701B8">
      <w:pPr>
        <w:ind w:firstLine="420" w:firstLineChars="200"/>
        <w:rPr>
          <w:rFonts w:ascii="宋体" w:hAnsi="宋体"/>
          <w:szCs w:val="21"/>
        </w:rPr>
      </w:pPr>
      <w:r>
        <w:rPr>
          <w:rFonts w:hint="eastAsia" w:ascii="宋体" w:hAnsi="宋体"/>
          <w:szCs w:val="21"/>
        </w:rPr>
        <w:t>第一步：确定与业务和组织相关的（非IT）因数：识别表D.2中每个</w:t>
      </w:r>
      <w:r>
        <w:rPr>
          <w:rFonts w:hint="eastAsia" w:ascii="宋体" w:hAnsi="宋体"/>
          <w:szCs w:val="21"/>
          <w:lang w:val="en-US" w:eastAsia="zh-CN"/>
        </w:rPr>
        <w:t>分级</w:t>
      </w:r>
      <w:r>
        <w:rPr>
          <w:rFonts w:hint="eastAsia" w:ascii="宋体" w:hAnsi="宋体"/>
          <w:szCs w:val="21"/>
        </w:rPr>
        <w:t>的适宜分值，并对结果求和；</w:t>
      </w:r>
    </w:p>
    <w:p w14:paraId="5C75955B">
      <w:pPr>
        <w:ind w:firstLine="420" w:firstLineChars="200"/>
        <w:rPr>
          <w:rFonts w:ascii="宋体" w:hAnsi="宋体"/>
          <w:szCs w:val="21"/>
        </w:rPr>
      </w:pPr>
      <w:r>
        <w:rPr>
          <w:rFonts w:hint="eastAsia" w:ascii="宋体" w:hAnsi="宋体"/>
          <w:szCs w:val="21"/>
        </w:rPr>
        <w:t>第二步：确定与IT环境相关的因数：识别表D.3中每个</w:t>
      </w:r>
      <w:r>
        <w:rPr>
          <w:rFonts w:hint="eastAsia" w:ascii="宋体" w:hAnsi="宋体"/>
          <w:szCs w:val="21"/>
          <w:lang w:val="en-US" w:eastAsia="zh-CN"/>
        </w:rPr>
        <w:t>分级</w:t>
      </w:r>
      <w:r>
        <w:rPr>
          <w:rFonts w:hint="eastAsia" w:ascii="宋体" w:hAnsi="宋体"/>
          <w:szCs w:val="21"/>
        </w:rPr>
        <w:t>的适宜分值，并对结果求和；</w:t>
      </w:r>
    </w:p>
    <w:p w14:paraId="0350069D">
      <w:pPr>
        <w:ind w:firstLine="420" w:firstLineChars="200"/>
        <w:rPr>
          <w:rFonts w:ascii="宋体" w:hAnsi="宋体"/>
          <w:szCs w:val="21"/>
        </w:rPr>
      </w:pPr>
      <w:r>
        <w:rPr>
          <w:rFonts w:hint="eastAsia" w:ascii="宋体" w:hAnsi="宋体"/>
          <w:szCs w:val="21"/>
        </w:rPr>
        <w:t>第三步：基于以上第一步和第二步的结果，通过选择表D.4中的适宜条目，识别这些因数对审核时间的影响；</w:t>
      </w:r>
    </w:p>
    <w:p w14:paraId="457E32D4">
      <w:pPr>
        <w:ind w:firstLine="420" w:firstLineChars="200"/>
        <w:rPr>
          <w:rFonts w:ascii="宋体" w:hAnsi="宋体"/>
          <w:szCs w:val="21"/>
        </w:rPr>
      </w:pPr>
      <w:r>
        <w:rPr>
          <w:rFonts w:hint="eastAsia" w:ascii="宋体" w:hAnsi="宋体"/>
          <w:szCs w:val="21"/>
        </w:rPr>
        <w:t>第四步：最终计算：将由审核时间表（表C.1）所确定</w:t>
      </w:r>
      <w:r>
        <w:rPr>
          <w:rFonts w:hint="eastAsia" w:ascii="宋体" w:hAnsi="宋体"/>
          <w:szCs w:val="21"/>
          <w:lang w:eastAsia="zh-CN"/>
        </w:rPr>
        <w:t>审核人日</w:t>
      </w:r>
      <w:r>
        <w:rPr>
          <w:rFonts w:hint="eastAsia" w:ascii="宋体" w:hAnsi="宋体"/>
          <w:szCs w:val="21"/>
        </w:rPr>
        <w:t>数乘以第三步中得出的系数。当</w:t>
      </w:r>
      <w:r>
        <w:rPr>
          <w:rFonts w:hint="eastAsia" w:ascii="宋体" w:hAnsi="宋体"/>
          <w:szCs w:val="21"/>
          <w:lang w:val="en-US" w:eastAsia="zh-CN"/>
        </w:rPr>
        <w:t>使用</w:t>
      </w:r>
      <w:r>
        <w:rPr>
          <w:rFonts w:hint="eastAsia" w:ascii="宋体" w:hAnsi="宋体"/>
          <w:szCs w:val="21"/>
        </w:rPr>
        <w:t>多场所抽样时，要</w:t>
      </w:r>
      <w:r>
        <w:rPr>
          <w:rFonts w:hint="eastAsia" w:ascii="宋体" w:hAnsi="宋体"/>
          <w:szCs w:val="21"/>
          <w:lang w:val="en-US" w:eastAsia="zh-CN"/>
        </w:rPr>
        <w:t>将实施</w:t>
      </w:r>
      <w:r>
        <w:rPr>
          <w:rFonts w:hint="eastAsia" w:ascii="宋体" w:hAnsi="宋体"/>
          <w:szCs w:val="21"/>
        </w:rPr>
        <w:t>多场所抽样计划所需的工作量增加所计算出的</w:t>
      </w:r>
      <w:r>
        <w:rPr>
          <w:rFonts w:hint="eastAsia" w:ascii="宋体" w:hAnsi="宋体"/>
          <w:szCs w:val="21"/>
          <w:lang w:eastAsia="zh-CN"/>
        </w:rPr>
        <w:t>审核人日</w:t>
      </w:r>
      <w:r>
        <w:rPr>
          <w:rFonts w:hint="eastAsia" w:ascii="宋体" w:hAnsi="宋体"/>
          <w:szCs w:val="21"/>
        </w:rPr>
        <w:t>。</w:t>
      </w:r>
    </w:p>
    <w:p w14:paraId="0C2025CB">
      <w:pPr>
        <w:ind w:firstLine="420" w:firstLineChars="200"/>
        <w:rPr>
          <w:rFonts w:ascii="宋体" w:hAnsi="宋体"/>
          <w:szCs w:val="21"/>
        </w:rPr>
      </w:pPr>
      <w:r>
        <w:rPr>
          <w:rFonts w:hint="eastAsia" w:ascii="宋体" w:hAnsi="宋体"/>
          <w:szCs w:val="21"/>
        </w:rPr>
        <w:t>这个结果是最终的</w:t>
      </w:r>
      <w:r>
        <w:rPr>
          <w:rFonts w:hint="eastAsia" w:ascii="宋体" w:hAnsi="宋体"/>
          <w:szCs w:val="21"/>
          <w:lang w:eastAsia="zh-CN"/>
        </w:rPr>
        <w:t>审核人日</w:t>
      </w:r>
      <w:r>
        <w:rPr>
          <w:rFonts w:hint="eastAsia" w:ascii="宋体" w:hAnsi="宋体"/>
          <w:szCs w:val="21"/>
        </w:rPr>
        <w:t>数。</w:t>
      </w:r>
    </w:p>
    <w:p w14:paraId="0B8E947C">
      <w:pPr>
        <w:ind w:firstLine="420" w:firstLineChars="200"/>
        <w:rPr>
          <w:rFonts w:ascii="宋体" w:hAnsi="宋体"/>
          <w:szCs w:val="21"/>
        </w:rPr>
      </w:pPr>
    </w:p>
    <w:p w14:paraId="1367A3CB">
      <w:pPr>
        <w:jc w:val="center"/>
        <w:rPr>
          <w:rFonts w:ascii="黑体" w:hAnsi="黑体" w:eastAsia="黑体" w:cs="Arial"/>
          <w:szCs w:val="21"/>
        </w:rPr>
      </w:pPr>
      <w:r>
        <w:rPr>
          <w:rFonts w:hint="eastAsia" w:ascii="黑体" w:hAnsi="黑体" w:eastAsia="黑体" w:cs="Arial"/>
          <w:szCs w:val="21"/>
        </w:rPr>
        <w:t>表D.2 与业务和组织（非IT）相关的因数</w:t>
      </w:r>
    </w:p>
    <w:tbl>
      <w:tblPr>
        <w:tblStyle w:val="4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6810"/>
      </w:tblGrid>
      <w:tr w14:paraId="522F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shd w:val="clear" w:color="auto" w:fill="auto"/>
            <w:vAlign w:val="center"/>
          </w:tcPr>
          <w:p w14:paraId="0DBE4B11">
            <w:pPr>
              <w:jc w:val="center"/>
              <w:rPr>
                <w:rFonts w:ascii="宋体" w:hAnsi="宋体"/>
                <w:sz w:val="18"/>
                <w:szCs w:val="18"/>
              </w:rPr>
            </w:pPr>
            <w:r>
              <w:rPr>
                <w:rFonts w:hint="eastAsia" w:ascii="宋体" w:hAnsi="宋体"/>
                <w:sz w:val="18"/>
                <w:szCs w:val="18"/>
              </w:rPr>
              <w:t>类别</w:t>
            </w:r>
          </w:p>
        </w:tc>
        <w:tc>
          <w:tcPr>
            <w:tcW w:w="6810" w:type="dxa"/>
            <w:shd w:val="clear" w:color="auto" w:fill="auto"/>
            <w:vAlign w:val="center"/>
          </w:tcPr>
          <w:p w14:paraId="70015853">
            <w:pPr>
              <w:jc w:val="center"/>
              <w:rPr>
                <w:rFonts w:ascii="宋体" w:hAnsi="宋体"/>
                <w:sz w:val="18"/>
                <w:szCs w:val="18"/>
              </w:rPr>
            </w:pPr>
            <w:r>
              <w:rPr>
                <w:rFonts w:hint="eastAsia" w:ascii="宋体" w:hAnsi="宋体"/>
                <w:sz w:val="18"/>
                <w:szCs w:val="18"/>
              </w:rPr>
              <w:t>分值</w:t>
            </w:r>
          </w:p>
        </w:tc>
      </w:tr>
      <w:tr w14:paraId="6A53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shd w:val="clear" w:color="auto" w:fill="auto"/>
            <w:vAlign w:val="center"/>
          </w:tcPr>
          <w:p w14:paraId="3B28F41A">
            <w:pPr>
              <w:rPr>
                <w:rFonts w:ascii="宋体" w:hAnsi="宋体"/>
                <w:sz w:val="18"/>
                <w:szCs w:val="18"/>
              </w:rPr>
            </w:pPr>
            <w:r>
              <w:rPr>
                <w:rFonts w:hint="eastAsia" w:ascii="宋体" w:hAnsi="宋体"/>
                <w:sz w:val="18"/>
                <w:szCs w:val="18"/>
              </w:rPr>
              <w:t>业务类型和法规要求</w:t>
            </w:r>
          </w:p>
        </w:tc>
        <w:tc>
          <w:tcPr>
            <w:tcW w:w="6810" w:type="dxa"/>
            <w:shd w:val="clear" w:color="auto" w:fill="auto"/>
            <w:vAlign w:val="center"/>
          </w:tcPr>
          <w:p w14:paraId="650FD14F">
            <w:pPr>
              <w:numPr>
                <w:ilvl w:val="0"/>
                <w:numId w:val="48"/>
              </w:numPr>
              <w:rPr>
                <w:rFonts w:ascii="宋体" w:hAnsi="宋体"/>
                <w:sz w:val="18"/>
                <w:szCs w:val="18"/>
              </w:rPr>
            </w:pPr>
            <w:r>
              <w:rPr>
                <w:rFonts w:hint="eastAsia" w:ascii="宋体" w:hAnsi="宋体"/>
                <w:sz w:val="18"/>
                <w:szCs w:val="18"/>
              </w:rPr>
              <w:t>组织所处的是一个非关键业务领域，且不受管制的领域；</w:t>
            </w:r>
          </w:p>
          <w:p w14:paraId="652B7131">
            <w:pPr>
              <w:numPr>
                <w:ilvl w:val="0"/>
                <w:numId w:val="48"/>
              </w:numPr>
              <w:rPr>
                <w:rFonts w:ascii="宋体" w:hAnsi="宋体"/>
                <w:sz w:val="18"/>
                <w:szCs w:val="18"/>
              </w:rPr>
            </w:pPr>
            <w:r>
              <w:rPr>
                <w:rFonts w:hint="eastAsia" w:ascii="宋体" w:hAnsi="宋体"/>
                <w:sz w:val="18"/>
                <w:szCs w:val="18"/>
              </w:rPr>
              <w:t>组织的客户处于关键业务领域；</w:t>
            </w:r>
          </w:p>
          <w:p w14:paraId="0BFFE931">
            <w:pPr>
              <w:numPr>
                <w:ilvl w:val="0"/>
                <w:numId w:val="48"/>
              </w:numPr>
              <w:rPr>
                <w:rFonts w:ascii="宋体" w:hAnsi="宋体"/>
                <w:sz w:val="18"/>
                <w:szCs w:val="18"/>
              </w:rPr>
            </w:pPr>
            <w:r>
              <w:rPr>
                <w:rFonts w:hint="eastAsia" w:ascii="宋体" w:hAnsi="宋体"/>
                <w:sz w:val="18"/>
                <w:szCs w:val="18"/>
              </w:rPr>
              <w:t>组织处于关键业务领域。</w:t>
            </w:r>
          </w:p>
        </w:tc>
      </w:tr>
      <w:tr w14:paraId="3DD6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shd w:val="clear" w:color="auto" w:fill="auto"/>
            <w:vAlign w:val="center"/>
          </w:tcPr>
          <w:p w14:paraId="7E56FB02">
            <w:pPr>
              <w:rPr>
                <w:rFonts w:ascii="宋体" w:hAnsi="宋体"/>
                <w:sz w:val="18"/>
                <w:szCs w:val="18"/>
              </w:rPr>
            </w:pPr>
            <w:r>
              <w:rPr>
                <w:rFonts w:hint="eastAsia" w:ascii="宋体" w:hAnsi="宋体"/>
                <w:sz w:val="18"/>
                <w:szCs w:val="18"/>
              </w:rPr>
              <w:t>过程与任务</w:t>
            </w:r>
          </w:p>
        </w:tc>
        <w:tc>
          <w:tcPr>
            <w:tcW w:w="6810" w:type="dxa"/>
            <w:shd w:val="clear" w:color="auto" w:fill="auto"/>
            <w:vAlign w:val="center"/>
          </w:tcPr>
          <w:p w14:paraId="7247D9FF">
            <w:pPr>
              <w:numPr>
                <w:ilvl w:val="0"/>
                <w:numId w:val="49"/>
              </w:numPr>
              <w:rPr>
                <w:rFonts w:ascii="宋体" w:hAnsi="宋体"/>
                <w:sz w:val="18"/>
                <w:szCs w:val="18"/>
              </w:rPr>
            </w:pPr>
            <w:r>
              <w:rPr>
                <w:rFonts w:hint="eastAsia" w:ascii="宋体" w:hAnsi="宋体"/>
                <w:sz w:val="18"/>
                <w:szCs w:val="18"/>
              </w:rPr>
              <w:t>标准过程，标准任务</w:t>
            </w:r>
            <w:r>
              <w:rPr>
                <w:rFonts w:hint="eastAsia" w:ascii="宋体" w:hAnsi="宋体"/>
                <w:sz w:val="18"/>
                <w:szCs w:val="18"/>
                <w:lang w:eastAsia="zh-CN"/>
              </w:rPr>
              <w:t>，</w:t>
            </w:r>
            <w:r>
              <w:rPr>
                <w:rFonts w:hint="eastAsia" w:ascii="宋体" w:hAnsi="宋体"/>
                <w:sz w:val="18"/>
                <w:szCs w:val="18"/>
              </w:rPr>
              <w:t>很少的产品或服务；</w:t>
            </w:r>
          </w:p>
          <w:p w14:paraId="31DC3C0E">
            <w:pPr>
              <w:numPr>
                <w:ilvl w:val="0"/>
                <w:numId w:val="49"/>
              </w:numPr>
              <w:rPr>
                <w:rFonts w:ascii="宋体" w:hAnsi="宋体"/>
                <w:sz w:val="18"/>
                <w:szCs w:val="18"/>
              </w:rPr>
            </w:pPr>
            <w:r>
              <w:rPr>
                <w:rFonts w:hint="eastAsia" w:ascii="宋体" w:hAnsi="宋体"/>
                <w:sz w:val="18"/>
                <w:szCs w:val="18"/>
              </w:rPr>
              <w:t>标准的但不重复的过程，涉及大量的产品或服务；</w:t>
            </w:r>
          </w:p>
          <w:p w14:paraId="047ED4C1">
            <w:pPr>
              <w:numPr>
                <w:ilvl w:val="0"/>
                <w:numId w:val="49"/>
              </w:numPr>
              <w:rPr>
                <w:rFonts w:ascii="宋体" w:hAnsi="宋体"/>
                <w:sz w:val="18"/>
                <w:szCs w:val="18"/>
              </w:rPr>
            </w:pPr>
            <w:r>
              <w:rPr>
                <w:rFonts w:hint="eastAsia" w:ascii="宋体" w:hAnsi="宋体"/>
                <w:sz w:val="18"/>
                <w:szCs w:val="18"/>
              </w:rPr>
              <w:t>复杂的过程，大量的产品和服务，许多业务单元包含在认证范围内（ISMS有复杂性高的过程，或相对较</w:t>
            </w:r>
            <w:r>
              <w:rPr>
                <w:rFonts w:ascii="宋体" w:hAnsi="宋体"/>
                <w:sz w:val="18"/>
                <w:szCs w:val="18"/>
              </w:rPr>
              <w:t>多</w:t>
            </w:r>
            <w:r>
              <w:rPr>
                <w:rFonts w:hint="eastAsia" w:ascii="宋体" w:hAnsi="宋体"/>
                <w:sz w:val="18"/>
                <w:szCs w:val="18"/>
              </w:rPr>
              <w:t>的独特活动）。</w:t>
            </w:r>
          </w:p>
        </w:tc>
      </w:tr>
      <w:tr w14:paraId="6F19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shd w:val="clear" w:color="auto" w:fill="auto"/>
            <w:vAlign w:val="center"/>
          </w:tcPr>
          <w:p w14:paraId="7A066A68">
            <w:pPr>
              <w:rPr>
                <w:rFonts w:ascii="宋体" w:hAnsi="宋体"/>
                <w:sz w:val="18"/>
                <w:szCs w:val="18"/>
              </w:rPr>
            </w:pPr>
            <w:r>
              <w:rPr>
                <w:rFonts w:hint="eastAsia" w:ascii="宋体" w:hAnsi="宋体"/>
                <w:sz w:val="18"/>
                <w:szCs w:val="18"/>
              </w:rPr>
              <w:t>管理体系的建立水平</w:t>
            </w:r>
          </w:p>
        </w:tc>
        <w:tc>
          <w:tcPr>
            <w:tcW w:w="6810" w:type="dxa"/>
            <w:shd w:val="clear" w:color="auto" w:fill="auto"/>
            <w:vAlign w:val="center"/>
          </w:tcPr>
          <w:p w14:paraId="7651567D">
            <w:pPr>
              <w:numPr>
                <w:ilvl w:val="0"/>
                <w:numId w:val="50"/>
              </w:numPr>
              <w:rPr>
                <w:rFonts w:ascii="宋体" w:hAnsi="宋体"/>
                <w:sz w:val="18"/>
                <w:szCs w:val="18"/>
              </w:rPr>
            </w:pPr>
            <w:r>
              <w:rPr>
                <w:rFonts w:hint="eastAsia" w:ascii="宋体" w:hAnsi="宋体"/>
                <w:sz w:val="18"/>
                <w:szCs w:val="18"/>
              </w:rPr>
              <w:t>已经很好地建立了ISMS，和（或）存在其他管理体系；</w:t>
            </w:r>
          </w:p>
          <w:p w14:paraId="5A27501A">
            <w:pPr>
              <w:numPr>
                <w:ilvl w:val="0"/>
                <w:numId w:val="50"/>
              </w:numPr>
              <w:rPr>
                <w:rFonts w:ascii="宋体" w:hAnsi="宋体"/>
                <w:sz w:val="18"/>
                <w:szCs w:val="18"/>
              </w:rPr>
            </w:pPr>
            <w:r>
              <w:rPr>
                <w:rFonts w:hint="eastAsia" w:ascii="宋体" w:hAnsi="宋体"/>
                <w:sz w:val="18"/>
                <w:szCs w:val="18"/>
              </w:rPr>
              <w:t>其他管理体系的要素，有些已经实施，有些没有实施；</w:t>
            </w:r>
          </w:p>
          <w:p w14:paraId="2125B720">
            <w:pPr>
              <w:numPr>
                <w:ilvl w:val="0"/>
                <w:numId w:val="50"/>
              </w:numPr>
              <w:rPr>
                <w:rFonts w:ascii="宋体" w:hAnsi="宋体"/>
                <w:sz w:val="18"/>
                <w:szCs w:val="18"/>
              </w:rPr>
            </w:pPr>
            <w:r>
              <w:rPr>
                <w:rFonts w:hint="eastAsia" w:ascii="宋体" w:hAnsi="宋体"/>
                <w:sz w:val="18"/>
                <w:szCs w:val="18"/>
              </w:rPr>
              <w:t>根本没有实施其他管理体系，ISMS是新的且</w:t>
            </w:r>
            <w:r>
              <w:rPr>
                <w:rFonts w:hint="eastAsia" w:ascii="宋体" w:hAnsi="宋体"/>
                <w:sz w:val="18"/>
                <w:szCs w:val="18"/>
                <w:lang w:val="en-US" w:eastAsia="zh-CN"/>
              </w:rPr>
              <w:t>尚未</w:t>
            </w:r>
            <w:r>
              <w:rPr>
                <w:rFonts w:hint="eastAsia" w:ascii="宋体" w:hAnsi="宋体"/>
                <w:sz w:val="18"/>
                <w:szCs w:val="18"/>
              </w:rPr>
              <w:t>建立。</w:t>
            </w:r>
          </w:p>
        </w:tc>
      </w:tr>
    </w:tbl>
    <w:p w14:paraId="79B5189C">
      <w:pPr>
        <w:rPr>
          <w:rFonts w:ascii="宋体" w:hAnsi="宋体"/>
          <w:kern w:val="0"/>
          <w:sz w:val="18"/>
          <w:szCs w:val="18"/>
          <w:lang w:val="de-DE"/>
        </w:rPr>
      </w:pPr>
      <w:r>
        <w:rPr>
          <w:rFonts w:hint="eastAsia" w:ascii="黑体" w:hAnsi="黑体" w:eastAsia="黑体"/>
          <w:kern w:val="0"/>
          <w:sz w:val="18"/>
          <w:szCs w:val="18"/>
          <w:lang w:val="de-DE"/>
        </w:rPr>
        <w:t>注：</w:t>
      </w:r>
      <w:r>
        <w:rPr>
          <w:rFonts w:hint="eastAsia" w:ascii="宋体" w:hAnsi="宋体"/>
          <w:kern w:val="0"/>
          <w:sz w:val="18"/>
          <w:szCs w:val="18"/>
          <w:lang w:val="de-DE"/>
        </w:rPr>
        <w:t>关键业务领域是</w:t>
      </w:r>
      <w:r>
        <w:rPr>
          <w:rFonts w:hint="eastAsia" w:ascii="宋体" w:hAnsi="宋体"/>
          <w:kern w:val="0"/>
          <w:sz w:val="18"/>
          <w:szCs w:val="18"/>
          <w:lang w:val="en-US" w:eastAsia="zh-CN"/>
        </w:rPr>
        <w:t>能</w:t>
      </w:r>
      <w:r>
        <w:rPr>
          <w:rFonts w:hint="eastAsia" w:ascii="宋体" w:hAnsi="宋体"/>
          <w:kern w:val="0"/>
          <w:sz w:val="18"/>
          <w:szCs w:val="18"/>
          <w:lang w:val="de-DE"/>
        </w:rPr>
        <w:t>影响关键公共服务的领域，这些公共服务将引起健康、安全、经济、信誉和政府履职能力的风险，从而可能对国家造成非常重大的负面影响。</w:t>
      </w:r>
    </w:p>
    <w:p w14:paraId="2A2761F8">
      <w:pPr>
        <w:rPr>
          <w:rFonts w:ascii="宋体" w:hAnsi="宋体"/>
          <w:szCs w:val="21"/>
        </w:rPr>
      </w:pPr>
    </w:p>
    <w:p w14:paraId="4821DBEC">
      <w:pPr>
        <w:jc w:val="center"/>
        <w:rPr>
          <w:rFonts w:ascii="黑体" w:hAnsi="黑体" w:eastAsia="黑体" w:cs="Arial"/>
          <w:szCs w:val="21"/>
        </w:rPr>
      </w:pPr>
      <w:r>
        <w:rPr>
          <w:rFonts w:ascii="黑体" w:hAnsi="黑体" w:eastAsia="黑体" w:cs="Arial"/>
          <w:szCs w:val="21"/>
        </w:rPr>
        <w:t>表</w:t>
      </w:r>
      <w:r>
        <w:rPr>
          <w:rFonts w:hint="eastAsia" w:ascii="黑体" w:hAnsi="黑体" w:eastAsia="黑体" w:cs="Arial"/>
          <w:szCs w:val="21"/>
        </w:rPr>
        <w:t>D</w:t>
      </w:r>
      <w:r>
        <w:rPr>
          <w:rFonts w:ascii="黑体" w:hAnsi="黑体" w:eastAsia="黑体" w:cs="Arial"/>
          <w:szCs w:val="21"/>
        </w:rPr>
        <w:t>.3 与IT环境相关的因数</w:t>
      </w:r>
    </w:p>
    <w:tbl>
      <w:tblPr>
        <w:tblStyle w:val="4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6799"/>
      </w:tblGrid>
      <w:tr w14:paraId="7D75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shd w:val="clear" w:color="auto" w:fill="auto"/>
          </w:tcPr>
          <w:p w14:paraId="2B25246B">
            <w:pPr>
              <w:jc w:val="center"/>
              <w:rPr>
                <w:rFonts w:ascii="宋体" w:hAnsi="宋体"/>
                <w:sz w:val="18"/>
                <w:szCs w:val="18"/>
              </w:rPr>
            </w:pPr>
            <w:r>
              <w:rPr>
                <w:rFonts w:hint="eastAsia" w:ascii="宋体" w:hAnsi="宋体"/>
                <w:sz w:val="18"/>
                <w:szCs w:val="18"/>
              </w:rPr>
              <w:t>类别</w:t>
            </w:r>
          </w:p>
        </w:tc>
        <w:tc>
          <w:tcPr>
            <w:tcW w:w="6799" w:type="dxa"/>
            <w:shd w:val="clear" w:color="auto" w:fill="auto"/>
          </w:tcPr>
          <w:p w14:paraId="45F0E545">
            <w:pPr>
              <w:jc w:val="center"/>
              <w:rPr>
                <w:rFonts w:ascii="宋体" w:hAnsi="宋体"/>
                <w:sz w:val="18"/>
                <w:szCs w:val="18"/>
              </w:rPr>
            </w:pPr>
            <w:r>
              <w:rPr>
                <w:rFonts w:hint="eastAsia" w:ascii="宋体" w:hAnsi="宋体"/>
                <w:sz w:val="18"/>
                <w:szCs w:val="18"/>
              </w:rPr>
              <w:t>分值</w:t>
            </w:r>
          </w:p>
        </w:tc>
      </w:tr>
      <w:tr w14:paraId="7564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shd w:val="clear" w:color="auto" w:fill="auto"/>
            <w:vAlign w:val="center"/>
          </w:tcPr>
          <w:p w14:paraId="5798A721">
            <w:pPr>
              <w:rPr>
                <w:rFonts w:ascii="宋体" w:hAnsi="宋体"/>
                <w:sz w:val="18"/>
                <w:szCs w:val="18"/>
              </w:rPr>
            </w:pPr>
            <w:r>
              <w:rPr>
                <w:rFonts w:hint="eastAsia" w:ascii="宋体" w:hAnsi="宋体"/>
                <w:sz w:val="18"/>
                <w:szCs w:val="18"/>
              </w:rPr>
              <w:t>IT基础设施的复杂程度</w:t>
            </w:r>
          </w:p>
        </w:tc>
        <w:tc>
          <w:tcPr>
            <w:tcW w:w="6799" w:type="dxa"/>
            <w:shd w:val="clear" w:color="auto" w:fill="auto"/>
            <w:vAlign w:val="center"/>
          </w:tcPr>
          <w:p w14:paraId="4F136AB9">
            <w:pPr>
              <w:numPr>
                <w:ilvl w:val="0"/>
                <w:numId w:val="51"/>
              </w:numPr>
              <w:rPr>
                <w:rFonts w:ascii="宋体" w:hAnsi="宋体"/>
                <w:sz w:val="18"/>
                <w:szCs w:val="18"/>
              </w:rPr>
            </w:pPr>
            <w:r>
              <w:rPr>
                <w:rFonts w:hint="eastAsia" w:ascii="宋体" w:hAnsi="宋体"/>
                <w:sz w:val="18"/>
                <w:szCs w:val="18"/>
              </w:rPr>
              <w:t>很少的或高度标准化的IT平台、服务器、操作系统、数据库、网络等；</w:t>
            </w:r>
          </w:p>
          <w:p w14:paraId="43C7B444">
            <w:pPr>
              <w:numPr>
                <w:ilvl w:val="0"/>
                <w:numId w:val="51"/>
              </w:numPr>
              <w:rPr>
                <w:rFonts w:ascii="宋体" w:hAnsi="宋体"/>
                <w:sz w:val="18"/>
                <w:szCs w:val="18"/>
              </w:rPr>
            </w:pPr>
            <w:r>
              <w:rPr>
                <w:rFonts w:hint="eastAsia" w:ascii="宋体" w:hAnsi="宋体"/>
                <w:sz w:val="18"/>
                <w:szCs w:val="18"/>
              </w:rPr>
              <w:t>多个不同的IT平台，服务器、操作系统、数据库、网络；</w:t>
            </w:r>
          </w:p>
          <w:p w14:paraId="05925A23">
            <w:pPr>
              <w:numPr>
                <w:ilvl w:val="0"/>
                <w:numId w:val="51"/>
              </w:numPr>
              <w:rPr>
                <w:rFonts w:ascii="宋体" w:hAnsi="宋体"/>
                <w:sz w:val="18"/>
                <w:szCs w:val="18"/>
              </w:rPr>
            </w:pPr>
            <w:r>
              <w:rPr>
                <w:rFonts w:hint="eastAsia" w:ascii="宋体" w:hAnsi="宋体"/>
                <w:sz w:val="18"/>
                <w:szCs w:val="18"/>
              </w:rPr>
              <w:t>很多不同的IT平台、服务器、操作系统、数据库、网络。</w:t>
            </w:r>
          </w:p>
        </w:tc>
      </w:tr>
      <w:tr w14:paraId="09B2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shd w:val="clear" w:color="auto" w:fill="auto"/>
            <w:vAlign w:val="center"/>
          </w:tcPr>
          <w:p w14:paraId="2D4B2BDC">
            <w:pPr>
              <w:rPr>
                <w:rFonts w:ascii="宋体" w:hAnsi="宋体"/>
                <w:sz w:val="18"/>
                <w:szCs w:val="18"/>
              </w:rPr>
            </w:pPr>
            <w:r>
              <w:rPr>
                <w:rFonts w:hint="eastAsia" w:ascii="宋体" w:hAnsi="宋体"/>
                <w:sz w:val="18"/>
                <w:szCs w:val="18"/>
              </w:rPr>
              <w:t>对外包和供应商（包括云服务）的依赖程度</w:t>
            </w:r>
          </w:p>
        </w:tc>
        <w:tc>
          <w:tcPr>
            <w:tcW w:w="6799" w:type="dxa"/>
            <w:shd w:val="clear" w:color="auto" w:fill="auto"/>
            <w:vAlign w:val="center"/>
          </w:tcPr>
          <w:p w14:paraId="17AB9635">
            <w:pPr>
              <w:numPr>
                <w:ilvl w:val="0"/>
                <w:numId w:val="52"/>
              </w:numPr>
              <w:rPr>
                <w:rFonts w:ascii="宋体" w:hAnsi="宋体"/>
                <w:sz w:val="18"/>
                <w:szCs w:val="18"/>
              </w:rPr>
            </w:pPr>
            <w:r>
              <w:rPr>
                <w:rFonts w:hint="eastAsia" w:ascii="宋体" w:hAnsi="宋体"/>
                <w:sz w:val="18"/>
                <w:szCs w:val="18"/>
              </w:rPr>
              <w:t>很少或不依赖外包或供应商；</w:t>
            </w:r>
          </w:p>
          <w:p w14:paraId="2FD7BC43">
            <w:pPr>
              <w:numPr>
                <w:ilvl w:val="0"/>
                <w:numId w:val="52"/>
              </w:numPr>
              <w:rPr>
                <w:rFonts w:ascii="宋体" w:hAnsi="宋体"/>
                <w:sz w:val="18"/>
                <w:szCs w:val="18"/>
              </w:rPr>
            </w:pPr>
            <w:r>
              <w:rPr>
                <w:rFonts w:hint="eastAsia" w:ascii="宋体" w:hAnsi="宋体"/>
                <w:sz w:val="18"/>
                <w:szCs w:val="18"/>
              </w:rPr>
              <w:t>有些依赖外包或供应商，这些外包或供应商与某些重要业务活动相关，但不是与所有的重要业务活动相关；</w:t>
            </w:r>
          </w:p>
          <w:p w14:paraId="52EC88D6">
            <w:pPr>
              <w:numPr>
                <w:ilvl w:val="0"/>
                <w:numId w:val="52"/>
              </w:numPr>
              <w:rPr>
                <w:rFonts w:ascii="宋体" w:hAnsi="宋体"/>
                <w:sz w:val="18"/>
                <w:szCs w:val="18"/>
              </w:rPr>
            </w:pPr>
            <w:r>
              <w:rPr>
                <w:rFonts w:hint="eastAsia" w:ascii="宋体" w:hAnsi="宋体"/>
                <w:sz w:val="18"/>
                <w:szCs w:val="18"/>
              </w:rPr>
              <w:t>高度依赖外包或供应商，外包或供应商对重要业务活动有着很大影响。</w:t>
            </w:r>
          </w:p>
        </w:tc>
      </w:tr>
      <w:tr w14:paraId="6755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shd w:val="clear" w:color="auto" w:fill="auto"/>
            <w:vAlign w:val="center"/>
          </w:tcPr>
          <w:p w14:paraId="5E549E36">
            <w:pPr>
              <w:rPr>
                <w:rFonts w:ascii="宋体" w:hAnsi="宋体"/>
                <w:sz w:val="18"/>
                <w:szCs w:val="18"/>
              </w:rPr>
            </w:pPr>
            <w:r>
              <w:rPr>
                <w:rFonts w:hint="eastAsia" w:ascii="宋体" w:hAnsi="宋体"/>
                <w:sz w:val="18"/>
                <w:szCs w:val="18"/>
              </w:rPr>
              <w:t>信息系统开发</w:t>
            </w:r>
          </w:p>
        </w:tc>
        <w:tc>
          <w:tcPr>
            <w:tcW w:w="6799" w:type="dxa"/>
            <w:shd w:val="clear" w:color="auto" w:fill="auto"/>
            <w:vAlign w:val="center"/>
          </w:tcPr>
          <w:p w14:paraId="20B1164D">
            <w:pPr>
              <w:numPr>
                <w:ilvl w:val="0"/>
                <w:numId w:val="53"/>
              </w:numPr>
              <w:rPr>
                <w:rFonts w:ascii="宋体" w:hAnsi="宋体"/>
                <w:sz w:val="18"/>
                <w:szCs w:val="18"/>
              </w:rPr>
            </w:pPr>
            <w:r>
              <w:rPr>
                <w:rFonts w:hint="eastAsia" w:ascii="宋体" w:hAnsi="宋体"/>
                <w:sz w:val="18"/>
                <w:szCs w:val="18"/>
              </w:rPr>
              <w:t>没有或非常有限的内部系统/应用开发；</w:t>
            </w:r>
          </w:p>
          <w:p w14:paraId="2CF924BF">
            <w:pPr>
              <w:numPr>
                <w:ilvl w:val="0"/>
                <w:numId w:val="53"/>
              </w:numPr>
              <w:rPr>
                <w:rFonts w:ascii="宋体" w:hAnsi="宋体"/>
                <w:sz w:val="18"/>
                <w:szCs w:val="18"/>
              </w:rPr>
            </w:pPr>
            <w:r>
              <w:rPr>
                <w:rFonts w:hint="eastAsia" w:ascii="宋体" w:hAnsi="宋体"/>
                <w:sz w:val="18"/>
                <w:szCs w:val="18"/>
              </w:rPr>
              <w:t>有一些服务于某些重要业务目的的、内部的或外包的系统/应用开发；</w:t>
            </w:r>
          </w:p>
          <w:p w14:paraId="4187D653">
            <w:pPr>
              <w:numPr>
                <w:ilvl w:val="0"/>
                <w:numId w:val="53"/>
              </w:numPr>
              <w:rPr>
                <w:rFonts w:ascii="宋体" w:hAnsi="宋体"/>
                <w:sz w:val="18"/>
                <w:szCs w:val="18"/>
              </w:rPr>
            </w:pPr>
            <w:r>
              <w:rPr>
                <w:rFonts w:hint="eastAsia" w:ascii="宋体" w:hAnsi="宋体"/>
                <w:sz w:val="18"/>
                <w:szCs w:val="18"/>
              </w:rPr>
              <w:t>有大量服务于重要业务目的的、内部的或外包的系统/应用开发。</w:t>
            </w:r>
          </w:p>
        </w:tc>
      </w:tr>
    </w:tbl>
    <w:p w14:paraId="789B068F">
      <w:pPr>
        <w:rPr>
          <w:rFonts w:ascii="宋体" w:hAnsi="宋体"/>
          <w:szCs w:val="21"/>
        </w:rPr>
      </w:pPr>
    </w:p>
    <w:p w14:paraId="1ABAB8FD">
      <w:pPr>
        <w:jc w:val="center"/>
        <w:rPr>
          <w:rFonts w:ascii="黑体" w:hAnsi="黑体" w:eastAsia="黑体"/>
          <w:szCs w:val="21"/>
        </w:rPr>
      </w:pPr>
      <w:r>
        <w:rPr>
          <w:rFonts w:hint="eastAsia" w:ascii="黑体" w:hAnsi="黑体" w:eastAsia="黑体" w:cs="Arial"/>
          <w:szCs w:val="21"/>
        </w:rPr>
        <w:t>表D.4 因数对审核时间的影响</w:t>
      </w:r>
    </w:p>
    <w:tbl>
      <w:tblPr>
        <w:tblStyle w:val="47"/>
        <w:tblW w:w="8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85"/>
        <w:gridCol w:w="2114"/>
        <w:gridCol w:w="1984"/>
        <w:gridCol w:w="1985"/>
      </w:tblGrid>
      <w:tr w14:paraId="14CB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2085" w:type="dxa"/>
            <w:tcBorders>
              <w:tl2br w:val="single" w:color="auto" w:sz="4" w:space="0"/>
            </w:tcBorders>
            <w:shd w:val="clear" w:color="auto" w:fill="auto"/>
          </w:tcPr>
          <w:p w14:paraId="11091B7F">
            <w:pPr>
              <w:ind w:firstLine="900" w:firstLineChars="500"/>
              <w:rPr>
                <w:rFonts w:ascii="宋体" w:hAnsi="宋体"/>
                <w:sz w:val="18"/>
                <w:szCs w:val="18"/>
              </w:rPr>
            </w:pPr>
            <w:r>
              <w:rPr>
                <w:rFonts w:hint="eastAsia" w:ascii="宋体" w:hAnsi="宋体"/>
                <w:sz w:val="18"/>
                <w:szCs w:val="18"/>
              </w:rPr>
              <w:t>IT复杂性</w:t>
            </w:r>
          </w:p>
          <w:p w14:paraId="7D6DC347">
            <w:pPr>
              <w:rPr>
                <w:rFonts w:ascii="宋体" w:hAnsi="宋体"/>
                <w:sz w:val="18"/>
                <w:szCs w:val="18"/>
              </w:rPr>
            </w:pPr>
            <w:r>
              <w:rPr>
                <w:rFonts w:hint="eastAsia" w:ascii="宋体" w:hAnsi="宋体"/>
                <w:sz w:val="18"/>
                <w:szCs w:val="18"/>
              </w:rPr>
              <w:t>业务复杂性</w:t>
            </w:r>
          </w:p>
        </w:tc>
        <w:tc>
          <w:tcPr>
            <w:tcW w:w="2114" w:type="dxa"/>
            <w:shd w:val="clear" w:color="auto" w:fill="auto"/>
          </w:tcPr>
          <w:p w14:paraId="133A0864">
            <w:pPr>
              <w:jc w:val="center"/>
              <w:rPr>
                <w:rFonts w:ascii="宋体" w:hAnsi="宋体"/>
                <w:sz w:val="18"/>
                <w:szCs w:val="18"/>
              </w:rPr>
            </w:pPr>
            <w:r>
              <w:rPr>
                <w:rFonts w:hint="eastAsia" w:ascii="宋体" w:hAnsi="宋体"/>
                <w:sz w:val="18"/>
                <w:szCs w:val="18"/>
              </w:rPr>
              <w:t>低</w:t>
            </w:r>
          </w:p>
          <w:p w14:paraId="130A95DF">
            <w:pPr>
              <w:jc w:val="center"/>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4）</w:t>
            </w:r>
          </w:p>
        </w:tc>
        <w:tc>
          <w:tcPr>
            <w:tcW w:w="1984" w:type="dxa"/>
            <w:shd w:val="clear" w:color="auto" w:fill="auto"/>
          </w:tcPr>
          <w:p w14:paraId="6C4B3C28">
            <w:pPr>
              <w:jc w:val="center"/>
              <w:rPr>
                <w:rFonts w:ascii="宋体" w:hAnsi="宋体"/>
                <w:sz w:val="18"/>
                <w:szCs w:val="18"/>
              </w:rPr>
            </w:pPr>
            <w:r>
              <w:rPr>
                <w:rFonts w:hint="eastAsia" w:ascii="宋体" w:hAnsi="宋体"/>
                <w:sz w:val="18"/>
                <w:szCs w:val="18"/>
              </w:rPr>
              <w:t>中</w:t>
            </w:r>
          </w:p>
          <w:p w14:paraId="1A525B8D">
            <w:pPr>
              <w:jc w:val="center"/>
              <w:rPr>
                <w:rFonts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6）</w:t>
            </w:r>
          </w:p>
        </w:tc>
        <w:tc>
          <w:tcPr>
            <w:tcW w:w="1985" w:type="dxa"/>
            <w:shd w:val="clear" w:color="auto" w:fill="auto"/>
          </w:tcPr>
          <w:p w14:paraId="7C464FBB">
            <w:pPr>
              <w:jc w:val="center"/>
              <w:rPr>
                <w:rFonts w:ascii="宋体" w:hAnsi="宋体"/>
                <w:sz w:val="18"/>
                <w:szCs w:val="18"/>
              </w:rPr>
            </w:pPr>
            <w:r>
              <w:rPr>
                <w:rFonts w:hint="eastAsia" w:ascii="宋体" w:hAnsi="宋体"/>
                <w:sz w:val="18"/>
                <w:szCs w:val="18"/>
              </w:rPr>
              <w:t>高</w:t>
            </w:r>
          </w:p>
          <w:p w14:paraId="4C396CB8">
            <w:pPr>
              <w:jc w:val="center"/>
              <w:rPr>
                <w:rFonts w:ascii="宋体" w:hAnsi="宋体"/>
                <w:sz w:val="18"/>
                <w:szCs w:val="18"/>
              </w:rPr>
            </w:pPr>
            <w:r>
              <w:rPr>
                <w:rFonts w:hint="eastAsia" w:ascii="宋体" w:hAnsi="宋体"/>
                <w:sz w:val="18"/>
                <w:szCs w:val="18"/>
              </w:rPr>
              <w:t>（7</w:t>
            </w:r>
            <w:r>
              <w:rPr>
                <w:rFonts w:ascii="宋体" w:hAnsi="宋体"/>
                <w:sz w:val="18"/>
                <w:szCs w:val="18"/>
              </w:rPr>
              <w:t>～</w:t>
            </w:r>
            <w:r>
              <w:rPr>
                <w:rFonts w:hint="eastAsia" w:ascii="宋体" w:hAnsi="宋体"/>
                <w:sz w:val="18"/>
                <w:szCs w:val="18"/>
              </w:rPr>
              <w:t>9）</w:t>
            </w:r>
          </w:p>
        </w:tc>
      </w:tr>
      <w:tr w14:paraId="151E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085" w:type="dxa"/>
            <w:shd w:val="clear" w:color="auto" w:fill="auto"/>
          </w:tcPr>
          <w:p w14:paraId="060456BB">
            <w:pPr>
              <w:jc w:val="center"/>
              <w:rPr>
                <w:rFonts w:ascii="宋体" w:hAnsi="宋体"/>
                <w:sz w:val="18"/>
                <w:szCs w:val="18"/>
              </w:rPr>
            </w:pPr>
            <w:r>
              <w:rPr>
                <w:rFonts w:ascii="宋体" w:hAnsi="宋体"/>
                <w:sz w:val="18"/>
                <w:szCs w:val="18"/>
              </w:rPr>
              <w:t>高</w:t>
            </w:r>
          </w:p>
          <w:p w14:paraId="56B4452D">
            <w:pPr>
              <w:jc w:val="center"/>
              <w:rPr>
                <w:rFonts w:ascii="宋体" w:hAnsi="宋体"/>
                <w:sz w:val="18"/>
                <w:szCs w:val="18"/>
              </w:rPr>
            </w:pPr>
            <w:r>
              <w:rPr>
                <w:rFonts w:ascii="宋体" w:hAnsi="宋体"/>
                <w:sz w:val="18"/>
                <w:szCs w:val="18"/>
              </w:rPr>
              <w:t>（7～9）</w:t>
            </w:r>
          </w:p>
        </w:tc>
        <w:tc>
          <w:tcPr>
            <w:tcW w:w="2114" w:type="dxa"/>
            <w:shd w:val="clear" w:color="auto" w:fill="auto"/>
            <w:vAlign w:val="center"/>
          </w:tcPr>
          <w:p w14:paraId="18F3BC83">
            <w:pPr>
              <w:jc w:val="center"/>
              <w:rPr>
                <w:rFonts w:ascii="宋体" w:hAnsi="宋体"/>
                <w:sz w:val="18"/>
                <w:szCs w:val="18"/>
              </w:rPr>
            </w:pPr>
            <w:r>
              <w:rPr>
                <w:rFonts w:ascii="宋体" w:hAnsi="宋体"/>
                <w:sz w:val="18"/>
                <w:szCs w:val="18"/>
              </w:rPr>
              <w:t>+5%～+20%</w:t>
            </w:r>
          </w:p>
        </w:tc>
        <w:tc>
          <w:tcPr>
            <w:tcW w:w="1984" w:type="dxa"/>
            <w:shd w:val="clear" w:color="auto" w:fill="auto"/>
            <w:vAlign w:val="center"/>
          </w:tcPr>
          <w:p w14:paraId="70EF417B">
            <w:pPr>
              <w:jc w:val="center"/>
              <w:rPr>
                <w:rFonts w:ascii="宋体" w:hAnsi="宋体"/>
                <w:sz w:val="18"/>
                <w:szCs w:val="18"/>
              </w:rPr>
            </w:pPr>
            <w:r>
              <w:rPr>
                <w:rFonts w:ascii="宋体" w:hAnsi="宋体"/>
                <w:sz w:val="18"/>
                <w:szCs w:val="18"/>
              </w:rPr>
              <w:t>+10%～+50%</w:t>
            </w:r>
          </w:p>
        </w:tc>
        <w:tc>
          <w:tcPr>
            <w:tcW w:w="1985" w:type="dxa"/>
            <w:shd w:val="clear" w:color="auto" w:fill="auto"/>
            <w:vAlign w:val="center"/>
          </w:tcPr>
          <w:p w14:paraId="73313882">
            <w:pPr>
              <w:jc w:val="center"/>
              <w:rPr>
                <w:rFonts w:ascii="宋体" w:hAnsi="宋体"/>
                <w:sz w:val="18"/>
                <w:szCs w:val="18"/>
              </w:rPr>
            </w:pPr>
            <w:r>
              <w:rPr>
                <w:rFonts w:ascii="宋体" w:hAnsi="宋体"/>
                <w:sz w:val="18"/>
                <w:szCs w:val="18"/>
              </w:rPr>
              <w:t>+20%～+100%</w:t>
            </w:r>
          </w:p>
        </w:tc>
      </w:tr>
      <w:tr w14:paraId="1606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085" w:type="dxa"/>
            <w:shd w:val="clear" w:color="auto" w:fill="auto"/>
          </w:tcPr>
          <w:p w14:paraId="155FC30F">
            <w:pPr>
              <w:jc w:val="center"/>
              <w:rPr>
                <w:rFonts w:ascii="宋体" w:hAnsi="宋体"/>
                <w:sz w:val="18"/>
                <w:szCs w:val="18"/>
              </w:rPr>
            </w:pPr>
            <w:r>
              <w:rPr>
                <w:rFonts w:ascii="宋体" w:hAnsi="宋体"/>
                <w:sz w:val="18"/>
                <w:szCs w:val="18"/>
              </w:rPr>
              <w:t>中</w:t>
            </w:r>
          </w:p>
          <w:p w14:paraId="3AD2B6A9">
            <w:pPr>
              <w:jc w:val="center"/>
              <w:rPr>
                <w:rFonts w:ascii="宋体" w:hAnsi="宋体"/>
                <w:sz w:val="18"/>
                <w:szCs w:val="18"/>
              </w:rPr>
            </w:pPr>
            <w:r>
              <w:rPr>
                <w:rFonts w:ascii="宋体" w:hAnsi="宋体"/>
                <w:sz w:val="18"/>
                <w:szCs w:val="18"/>
              </w:rPr>
              <w:t>（5～6）</w:t>
            </w:r>
          </w:p>
        </w:tc>
        <w:tc>
          <w:tcPr>
            <w:tcW w:w="2114" w:type="dxa"/>
            <w:shd w:val="clear" w:color="auto" w:fill="auto"/>
            <w:vAlign w:val="center"/>
          </w:tcPr>
          <w:p w14:paraId="32A5AB33">
            <w:pPr>
              <w:jc w:val="center"/>
              <w:rPr>
                <w:rFonts w:ascii="宋体" w:hAnsi="宋体"/>
                <w:sz w:val="18"/>
                <w:szCs w:val="18"/>
              </w:rPr>
            </w:pPr>
            <w:r>
              <w:rPr>
                <w:rFonts w:ascii="宋体" w:hAnsi="宋体"/>
                <w:sz w:val="18"/>
                <w:szCs w:val="18"/>
              </w:rPr>
              <w:t>-5%～</w:t>
            </w:r>
            <w:r>
              <w:rPr>
                <w:rFonts w:hint="eastAsia" w:ascii="MS Gothic" w:hAnsi="MS Gothic" w:eastAsia="MS Gothic" w:cs="MS Gothic"/>
                <w:sz w:val="18"/>
                <w:szCs w:val="18"/>
              </w:rPr>
              <w:t>−</w:t>
            </w:r>
            <w:r>
              <w:rPr>
                <w:rFonts w:ascii="宋体" w:hAnsi="宋体"/>
                <w:sz w:val="18"/>
                <w:szCs w:val="18"/>
              </w:rPr>
              <w:t>10%</w:t>
            </w:r>
          </w:p>
        </w:tc>
        <w:tc>
          <w:tcPr>
            <w:tcW w:w="1984" w:type="dxa"/>
            <w:shd w:val="clear" w:color="auto" w:fill="auto"/>
            <w:vAlign w:val="center"/>
          </w:tcPr>
          <w:p w14:paraId="6C968058">
            <w:pPr>
              <w:jc w:val="center"/>
              <w:rPr>
                <w:rFonts w:ascii="宋体" w:hAnsi="宋体"/>
                <w:sz w:val="18"/>
                <w:szCs w:val="18"/>
              </w:rPr>
            </w:pPr>
            <w:r>
              <w:rPr>
                <w:rFonts w:ascii="宋体" w:hAnsi="宋体"/>
                <w:sz w:val="18"/>
                <w:szCs w:val="18"/>
              </w:rPr>
              <w:t>0%</w:t>
            </w:r>
          </w:p>
        </w:tc>
        <w:tc>
          <w:tcPr>
            <w:tcW w:w="1985" w:type="dxa"/>
            <w:shd w:val="clear" w:color="auto" w:fill="auto"/>
            <w:vAlign w:val="center"/>
          </w:tcPr>
          <w:p w14:paraId="4E3EA50D">
            <w:pPr>
              <w:jc w:val="center"/>
              <w:rPr>
                <w:rFonts w:ascii="宋体" w:hAnsi="宋体"/>
                <w:sz w:val="18"/>
                <w:szCs w:val="18"/>
              </w:rPr>
            </w:pPr>
            <w:r>
              <w:rPr>
                <w:rFonts w:ascii="宋体" w:hAnsi="宋体"/>
                <w:sz w:val="18"/>
                <w:szCs w:val="18"/>
              </w:rPr>
              <w:t>+10%～+50%</w:t>
            </w:r>
          </w:p>
        </w:tc>
      </w:tr>
      <w:tr w14:paraId="739E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085" w:type="dxa"/>
            <w:shd w:val="clear" w:color="auto" w:fill="auto"/>
          </w:tcPr>
          <w:p w14:paraId="7AF16E56">
            <w:pPr>
              <w:jc w:val="center"/>
              <w:rPr>
                <w:rFonts w:ascii="宋体" w:hAnsi="宋体"/>
                <w:sz w:val="18"/>
                <w:szCs w:val="18"/>
              </w:rPr>
            </w:pPr>
            <w:r>
              <w:rPr>
                <w:rFonts w:ascii="宋体" w:hAnsi="宋体"/>
                <w:sz w:val="18"/>
                <w:szCs w:val="18"/>
              </w:rPr>
              <w:t>低</w:t>
            </w:r>
          </w:p>
          <w:p w14:paraId="22421C9E">
            <w:pPr>
              <w:jc w:val="center"/>
              <w:rPr>
                <w:rFonts w:ascii="宋体" w:hAnsi="宋体"/>
                <w:sz w:val="18"/>
                <w:szCs w:val="18"/>
              </w:rPr>
            </w:pPr>
            <w:r>
              <w:rPr>
                <w:rFonts w:ascii="宋体" w:hAnsi="宋体"/>
                <w:sz w:val="18"/>
                <w:szCs w:val="18"/>
              </w:rPr>
              <w:t>（3～4）</w:t>
            </w:r>
          </w:p>
        </w:tc>
        <w:tc>
          <w:tcPr>
            <w:tcW w:w="2114" w:type="dxa"/>
            <w:shd w:val="clear" w:color="auto" w:fill="auto"/>
            <w:vAlign w:val="center"/>
          </w:tcPr>
          <w:p w14:paraId="0B3EB690">
            <w:pPr>
              <w:jc w:val="center"/>
              <w:rPr>
                <w:rFonts w:ascii="宋体" w:hAnsi="宋体"/>
                <w:sz w:val="18"/>
                <w:szCs w:val="18"/>
              </w:rPr>
            </w:pPr>
            <w:r>
              <w:rPr>
                <w:rFonts w:ascii="宋体" w:hAnsi="宋体"/>
                <w:sz w:val="18"/>
                <w:szCs w:val="18"/>
              </w:rPr>
              <w:t>-10%～</w:t>
            </w:r>
            <w:r>
              <w:rPr>
                <w:rFonts w:hint="eastAsia" w:ascii="MS Gothic" w:hAnsi="MS Gothic" w:eastAsia="MS Gothic" w:cs="MS Gothic"/>
                <w:sz w:val="18"/>
                <w:szCs w:val="18"/>
              </w:rPr>
              <w:t>−</w:t>
            </w:r>
            <w:r>
              <w:rPr>
                <w:rFonts w:ascii="宋体" w:hAnsi="宋体"/>
                <w:sz w:val="18"/>
                <w:szCs w:val="18"/>
              </w:rPr>
              <w:t>30%</w:t>
            </w:r>
          </w:p>
        </w:tc>
        <w:tc>
          <w:tcPr>
            <w:tcW w:w="1984" w:type="dxa"/>
            <w:shd w:val="clear" w:color="auto" w:fill="auto"/>
            <w:vAlign w:val="center"/>
          </w:tcPr>
          <w:p w14:paraId="35FE3891">
            <w:pPr>
              <w:jc w:val="center"/>
              <w:rPr>
                <w:rFonts w:ascii="宋体" w:hAnsi="宋体"/>
                <w:sz w:val="18"/>
                <w:szCs w:val="18"/>
              </w:rPr>
            </w:pPr>
            <w:r>
              <w:rPr>
                <w:rFonts w:ascii="宋体" w:hAnsi="宋体"/>
                <w:sz w:val="18"/>
                <w:szCs w:val="18"/>
              </w:rPr>
              <w:t>-5%～</w:t>
            </w:r>
            <w:r>
              <w:rPr>
                <w:rFonts w:hint="eastAsia" w:ascii="MS Gothic" w:hAnsi="MS Gothic" w:eastAsia="MS Gothic" w:cs="MS Gothic"/>
                <w:sz w:val="18"/>
                <w:szCs w:val="18"/>
              </w:rPr>
              <w:t>−</w:t>
            </w:r>
            <w:r>
              <w:rPr>
                <w:rFonts w:ascii="宋体" w:hAnsi="宋体"/>
                <w:sz w:val="18"/>
                <w:szCs w:val="18"/>
              </w:rPr>
              <w:t>10%</w:t>
            </w:r>
          </w:p>
        </w:tc>
        <w:tc>
          <w:tcPr>
            <w:tcW w:w="1985" w:type="dxa"/>
            <w:shd w:val="clear" w:color="auto" w:fill="auto"/>
            <w:vAlign w:val="center"/>
          </w:tcPr>
          <w:p w14:paraId="541804B1">
            <w:pPr>
              <w:jc w:val="center"/>
              <w:rPr>
                <w:rFonts w:ascii="宋体" w:hAnsi="宋体"/>
                <w:sz w:val="18"/>
                <w:szCs w:val="18"/>
              </w:rPr>
            </w:pPr>
            <w:r>
              <w:rPr>
                <w:rFonts w:ascii="宋体" w:hAnsi="宋体"/>
                <w:sz w:val="18"/>
                <w:szCs w:val="18"/>
              </w:rPr>
              <w:t>+5%～+20%</w:t>
            </w:r>
          </w:p>
        </w:tc>
      </w:tr>
    </w:tbl>
    <w:p w14:paraId="7F0FD3AE">
      <w:pPr>
        <w:rPr>
          <w:rFonts w:ascii="宋体" w:hAnsi="宋体"/>
          <w:szCs w:val="21"/>
        </w:rPr>
      </w:pPr>
    </w:p>
    <w:p w14:paraId="5EDB1864">
      <w:pPr>
        <w:rPr>
          <w:rFonts w:ascii="宋体" w:hAnsi="宋体"/>
          <w:sz w:val="18"/>
          <w:szCs w:val="18"/>
        </w:rPr>
      </w:pPr>
      <w:r>
        <w:rPr>
          <w:rFonts w:hint="eastAsia" w:ascii="宋体" w:hAnsi="宋体"/>
          <w:sz w:val="18"/>
          <w:szCs w:val="18"/>
        </w:rPr>
        <w:t>示例</w:t>
      </w:r>
      <w:r>
        <w:rPr>
          <w:rFonts w:ascii="宋体" w:hAnsi="宋体"/>
          <w:sz w:val="18"/>
          <w:szCs w:val="18"/>
        </w:rPr>
        <w:t>1</w:t>
      </w:r>
      <w:r>
        <w:rPr>
          <w:rFonts w:hint="eastAsia" w:ascii="宋体" w:hAnsi="宋体"/>
          <w:sz w:val="18"/>
          <w:szCs w:val="18"/>
        </w:rPr>
        <w:t>：</w:t>
      </w:r>
    </w:p>
    <w:p w14:paraId="4EEE1A56">
      <w:pPr>
        <w:ind w:firstLine="360" w:firstLineChars="200"/>
        <w:rPr>
          <w:rFonts w:ascii="宋体" w:hAnsi="宋体"/>
          <w:sz w:val="18"/>
          <w:szCs w:val="18"/>
        </w:rPr>
      </w:pPr>
      <w:r>
        <w:rPr>
          <w:rFonts w:hint="eastAsia" w:ascii="宋体" w:hAnsi="宋体"/>
          <w:sz w:val="18"/>
          <w:szCs w:val="18"/>
        </w:rPr>
        <w:t>受审核的组织有700人，因此根据表C.1，其初次认证审核需要17.5人天。该组织不属于关键业务领域，从事高度标准化和重复性的任务且刚建立ISMS。根据表D.2，得出与业务和组织相关的因</w:t>
      </w:r>
      <w:r>
        <w:rPr>
          <w:rFonts w:hint="eastAsia" w:ascii="宋体" w:hAnsi="宋体"/>
          <w:sz w:val="18"/>
          <w:szCs w:val="18"/>
          <w:lang w:val="en-US" w:eastAsia="zh-CN"/>
        </w:rPr>
        <w:t>数</w:t>
      </w:r>
      <w:r>
        <w:rPr>
          <w:rFonts w:hint="eastAsia" w:ascii="宋体" w:hAnsi="宋体"/>
          <w:sz w:val="18"/>
          <w:szCs w:val="18"/>
        </w:rPr>
        <w:t>为1+1+3=5。该组织具有非常少的IT平台和数据库，但大量地使用外包。该组织没有内部的或外包的开发活动。根据表D.3，得出与IT环境相关的因</w:t>
      </w:r>
      <w:r>
        <w:rPr>
          <w:rFonts w:hint="eastAsia" w:ascii="宋体" w:hAnsi="宋体"/>
          <w:sz w:val="18"/>
          <w:szCs w:val="18"/>
          <w:lang w:val="en-US" w:eastAsia="zh-CN"/>
        </w:rPr>
        <w:t>数</w:t>
      </w:r>
      <w:r>
        <w:rPr>
          <w:rFonts w:hint="eastAsia" w:ascii="宋体" w:hAnsi="宋体"/>
          <w:sz w:val="18"/>
          <w:szCs w:val="18"/>
        </w:rPr>
        <w:t>为1+3+1=5。利用表D.4，可以得出该审核时间无需调整。</w:t>
      </w:r>
    </w:p>
    <w:p w14:paraId="3345F17A">
      <w:pPr>
        <w:rPr>
          <w:rFonts w:ascii="宋体" w:hAnsi="宋体"/>
          <w:sz w:val="18"/>
          <w:szCs w:val="18"/>
        </w:rPr>
      </w:pPr>
      <w:r>
        <w:rPr>
          <w:rFonts w:hint="eastAsia" w:ascii="宋体" w:hAnsi="宋体"/>
          <w:sz w:val="18"/>
          <w:szCs w:val="18"/>
        </w:rPr>
        <w:t>示例2：</w:t>
      </w:r>
    </w:p>
    <w:p w14:paraId="6C0D7B5F">
      <w:pPr>
        <w:ind w:firstLine="360" w:firstLineChars="200"/>
        <w:rPr>
          <w:rFonts w:ascii="宋体" w:hAnsi="宋体"/>
          <w:sz w:val="18"/>
          <w:szCs w:val="18"/>
        </w:rPr>
      </w:pPr>
      <w:r>
        <w:rPr>
          <w:rFonts w:hint="eastAsia" w:ascii="宋体" w:hAnsi="宋体"/>
          <w:sz w:val="18"/>
          <w:szCs w:val="18"/>
        </w:rPr>
        <w:t>还是示例1中的这个组织，但其已有多个管理体系且已较好地建立了ISMS。根据表D.2，与业务和组织相关的因</w:t>
      </w:r>
      <w:r>
        <w:rPr>
          <w:rFonts w:hint="eastAsia" w:ascii="宋体" w:hAnsi="宋体"/>
          <w:sz w:val="18"/>
          <w:szCs w:val="18"/>
          <w:lang w:val="en-US" w:eastAsia="zh-CN"/>
        </w:rPr>
        <w:t>数</w:t>
      </w:r>
      <w:r>
        <w:rPr>
          <w:rFonts w:hint="eastAsia" w:ascii="宋体" w:hAnsi="宋体"/>
          <w:sz w:val="18"/>
          <w:szCs w:val="18"/>
        </w:rPr>
        <w:t>将变为：1+1+1=3。根据表D.4，将得出需要减少5%</w:t>
      </w:r>
      <w:r>
        <w:rPr>
          <w:rFonts w:hint="eastAsia" w:ascii="等线" w:hAnsi="等线" w:eastAsia="等线" w:cs="等线"/>
          <w:sz w:val="18"/>
          <w:szCs w:val="18"/>
        </w:rPr>
        <w:t>∽</w:t>
      </w:r>
      <w:r>
        <w:rPr>
          <w:rFonts w:hint="eastAsia" w:ascii="宋体" w:hAnsi="宋体"/>
          <w:sz w:val="18"/>
          <w:szCs w:val="18"/>
        </w:rPr>
        <w:t>10%的审核时间，即：审核时间将减少1到1.5人天，变为16到16.5人天。</w:t>
      </w:r>
    </w:p>
    <w:p w14:paraId="35A51C30">
      <w:pPr>
        <w:pStyle w:val="139"/>
        <w:keepNext w:val="0"/>
        <w:pageBreakBefore w:val="0"/>
        <w:numPr>
          <w:ilvl w:val="0"/>
          <w:numId w:val="19"/>
        </w:numPr>
        <w:spacing w:before="0" w:after="0"/>
        <w:rPr>
          <w:rFonts w:hAnsi="黑体"/>
          <w:sz w:val="21"/>
          <w:szCs w:val="21"/>
        </w:rPr>
      </w:pPr>
      <w:r>
        <w:rPr>
          <w:rFonts w:ascii="宋体" w:hAnsi="宋体" w:eastAsia="宋体"/>
          <w:sz w:val="21"/>
          <w:szCs w:val="21"/>
        </w:rPr>
        <w:br w:type="page"/>
      </w:r>
      <w:bookmarkStart w:id="354" w:name="_Toc496168597"/>
      <w:bookmarkStart w:id="355" w:name="_Toc5632"/>
      <w:bookmarkStart w:id="356" w:name="_Toc28881"/>
      <w:bookmarkStart w:id="357" w:name="_Toc434010488"/>
      <w:r>
        <w:rPr>
          <w:rFonts w:hint="eastAsia" w:hAnsi="黑体"/>
          <w:sz w:val="21"/>
          <w:szCs w:val="21"/>
        </w:rPr>
        <w:t>附录E</w:t>
      </w:r>
      <w:bookmarkEnd w:id="354"/>
      <w:bookmarkEnd w:id="355"/>
      <w:bookmarkEnd w:id="356"/>
    </w:p>
    <w:p w14:paraId="2B501260">
      <w:pPr>
        <w:pStyle w:val="139"/>
        <w:keepNext w:val="0"/>
        <w:pageBreakBefore w:val="0"/>
        <w:numPr>
          <w:ilvl w:val="0"/>
          <w:numId w:val="19"/>
        </w:numPr>
        <w:spacing w:before="0" w:after="0" w:line="300" w:lineRule="auto"/>
        <w:rPr>
          <w:rFonts w:hAnsi="黑体"/>
          <w:sz w:val="21"/>
          <w:szCs w:val="21"/>
        </w:rPr>
      </w:pPr>
      <w:bookmarkStart w:id="358" w:name="_Toc25336"/>
      <w:bookmarkStart w:id="359" w:name="_Toc496168598"/>
      <w:bookmarkStart w:id="360" w:name="_Toc12917"/>
      <w:r>
        <w:rPr>
          <w:rFonts w:hint="eastAsia" w:hAnsi="黑体"/>
          <w:sz w:val="21"/>
          <w:szCs w:val="21"/>
        </w:rPr>
        <w:t>（资料性）</w:t>
      </w:r>
      <w:bookmarkEnd w:id="357"/>
      <w:bookmarkEnd w:id="358"/>
      <w:bookmarkEnd w:id="359"/>
      <w:bookmarkEnd w:id="360"/>
    </w:p>
    <w:p w14:paraId="63BDA722">
      <w:pPr>
        <w:pStyle w:val="139"/>
        <w:keepNext w:val="0"/>
        <w:pageBreakBefore w:val="0"/>
        <w:numPr>
          <w:ilvl w:val="0"/>
          <w:numId w:val="19"/>
        </w:numPr>
        <w:spacing w:before="0" w:after="0" w:line="300" w:lineRule="auto"/>
        <w:rPr>
          <w:rFonts w:hAnsi="黑体"/>
          <w:sz w:val="21"/>
          <w:szCs w:val="21"/>
        </w:rPr>
      </w:pPr>
      <w:bookmarkStart w:id="361" w:name="_Toc434010489"/>
      <w:bookmarkStart w:id="362" w:name="_Toc28566"/>
      <w:bookmarkStart w:id="363" w:name="_Toc496168599"/>
      <w:bookmarkStart w:id="364" w:name="_Toc23441"/>
      <w:r>
        <w:rPr>
          <w:rFonts w:hint="eastAsia" w:hAnsi="黑体"/>
          <w:sz w:val="21"/>
          <w:szCs w:val="21"/>
        </w:rPr>
        <w:t>对已实现的</w:t>
      </w:r>
      <w:r>
        <w:rPr>
          <w:rFonts w:hint="eastAsia" w:hAnsi="黑体"/>
          <w:sz w:val="21"/>
          <w:szCs w:val="21"/>
          <w:lang w:val="en-US" w:eastAsia="zh-CN"/>
        </w:rPr>
        <w:t>GB/T 22080—202X</w:t>
      </w:r>
      <w:r>
        <w:rPr>
          <w:rFonts w:hint="eastAsia" w:hAnsi="黑体"/>
          <w:sz w:val="21"/>
          <w:szCs w:val="21"/>
        </w:rPr>
        <w:t>附录A</w:t>
      </w:r>
      <w:r>
        <w:rPr>
          <w:rFonts w:hint="eastAsia" w:hAnsi="黑体"/>
          <w:sz w:val="21"/>
          <w:szCs w:val="21"/>
          <w:lang w:val="en-US" w:eastAsia="zh-CN"/>
        </w:rPr>
        <w:t>中</w:t>
      </w:r>
      <w:r>
        <w:rPr>
          <w:rFonts w:hint="eastAsia" w:hAnsi="黑体"/>
          <w:sz w:val="21"/>
          <w:szCs w:val="21"/>
        </w:rPr>
        <w:t>控制的</w:t>
      </w:r>
      <w:r>
        <w:rPr>
          <w:rFonts w:hint="eastAsia" w:hAnsi="黑体"/>
          <w:sz w:val="21"/>
          <w:szCs w:val="21"/>
          <w:lang w:val="en-US" w:eastAsia="zh-CN"/>
        </w:rPr>
        <w:t>审核</w:t>
      </w:r>
      <w:r>
        <w:rPr>
          <w:rFonts w:hint="eastAsia" w:hAnsi="黑体"/>
          <w:sz w:val="21"/>
          <w:szCs w:val="21"/>
        </w:rPr>
        <w:t>指南</w:t>
      </w:r>
      <w:bookmarkEnd w:id="361"/>
      <w:bookmarkEnd w:id="362"/>
      <w:bookmarkEnd w:id="363"/>
      <w:bookmarkEnd w:id="364"/>
    </w:p>
    <w:p w14:paraId="0D92DF5C">
      <w:pPr>
        <w:pStyle w:val="70"/>
        <w:numPr>
          <w:ilvl w:val="0"/>
          <w:numId w:val="0"/>
        </w:numPr>
        <w:spacing w:before="156" w:after="156"/>
        <w:rPr>
          <w:rFonts w:hAnsi="黑体"/>
          <w:lang w:val="de-DE"/>
        </w:rPr>
      </w:pPr>
      <w:r>
        <w:rPr>
          <w:rFonts w:hint="eastAsia" w:hAnsi="黑体"/>
          <w:lang w:val="de-DE"/>
        </w:rPr>
        <w:t>E</w:t>
      </w:r>
      <w:r>
        <w:rPr>
          <w:rFonts w:hAnsi="黑体"/>
          <w:lang w:val="de-DE"/>
        </w:rPr>
        <w:t>.</w:t>
      </w:r>
      <w:r>
        <w:rPr>
          <w:rFonts w:hint="eastAsia" w:hAnsi="黑体"/>
          <w:lang w:val="de-DE"/>
        </w:rPr>
        <w:t>1</w:t>
      </w:r>
      <w:r>
        <w:rPr>
          <w:rFonts w:hint="eastAsia" w:hAnsi="黑体"/>
          <w:lang w:val="en-US" w:eastAsia="zh-CN"/>
        </w:rPr>
        <w:t xml:space="preserve">  </w:t>
      </w:r>
      <w:r>
        <w:rPr>
          <w:rFonts w:hint="eastAsia" w:hAnsi="黑体"/>
          <w:lang w:val="de-DE"/>
        </w:rPr>
        <w:t>目的</w:t>
      </w:r>
    </w:p>
    <w:p w14:paraId="5E14EB68">
      <w:pPr>
        <w:ind w:firstLine="420" w:firstLineChars="200"/>
        <w:rPr>
          <w:rFonts w:ascii="宋体" w:hAnsi="宋体"/>
          <w:szCs w:val="21"/>
        </w:rPr>
      </w:pPr>
      <w:r>
        <w:rPr>
          <w:rFonts w:hint="eastAsia" w:ascii="宋体" w:hAnsi="宋体"/>
          <w:szCs w:val="21"/>
        </w:rPr>
        <w:t>根据</w:t>
      </w:r>
      <w:r>
        <w:rPr>
          <w:rFonts w:ascii="宋体" w:hAnsi="宋体"/>
          <w:szCs w:val="21"/>
        </w:rPr>
        <w:t>9.3.2.2 f)</w:t>
      </w:r>
      <w:r>
        <w:rPr>
          <w:rFonts w:hint="eastAsia" w:ascii="宋体" w:hAnsi="宋体"/>
          <w:szCs w:val="21"/>
          <w:lang w:eastAsia="zh-CN"/>
        </w:rPr>
        <w:t>的</w:t>
      </w:r>
      <w:r>
        <w:rPr>
          <w:rFonts w:ascii="宋体" w:hAnsi="宋体"/>
          <w:szCs w:val="21"/>
        </w:rPr>
        <w:t>要求，</w:t>
      </w:r>
      <w:r>
        <w:rPr>
          <w:rFonts w:hint="eastAsia" w:ascii="宋体" w:hAnsi="宋体"/>
          <w:szCs w:val="21"/>
        </w:rPr>
        <w:t>在初次认证审核的第二阶段以及监督或再认证活动中，</w:t>
      </w:r>
      <w:r>
        <w:rPr>
          <w:rFonts w:hint="eastAsia" w:ascii="宋体" w:hAnsi="宋体"/>
          <w:szCs w:val="21"/>
          <w:lang w:val="en-US" w:eastAsia="zh-CN"/>
        </w:rPr>
        <w:t>应根据</w:t>
      </w:r>
      <w:r>
        <w:rPr>
          <w:rFonts w:hint="eastAsia" w:ascii="宋体" w:hAnsi="宋体"/>
          <w:szCs w:val="21"/>
        </w:rPr>
        <w:t>适用性声明</w:t>
      </w:r>
      <w:r>
        <w:rPr>
          <w:rFonts w:hint="eastAsia" w:ascii="宋体" w:hAnsi="宋体"/>
          <w:szCs w:val="21"/>
          <w:highlight w:val="none"/>
          <w:lang w:eastAsia="zh-CN"/>
        </w:rPr>
        <w:t>审核</w:t>
      </w:r>
      <w:r>
        <w:rPr>
          <w:rFonts w:hint="eastAsia" w:ascii="宋体" w:hAnsi="宋体"/>
          <w:szCs w:val="21"/>
        </w:rPr>
        <w:t>客户</w:t>
      </w:r>
      <w:r>
        <w:rPr>
          <w:rFonts w:hint="eastAsia" w:ascii="宋体" w:hAnsi="宋体"/>
          <w:szCs w:val="21"/>
          <w:lang w:val="en-US" w:eastAsia="zh-CN"/>
        </w:rPr>
        <w:t>ISMS所确定的必要控制</w:t>
      </w:r>
      <w:r>
        <w:rPr>
          <w:rFonts w:hint="eastAsia" w:ascii="宋体" w:hAnsi="宋体"/>
          <w:szCs w:val="21"/>
        </w:rPr>
        <w:t>的实现情况。</w:t>
      </w:r>
      <w:r>
        <w:rPr>
          <w:rFonts w:hint="eastAsia" w:ascii="宋体" w:hAnsi="宋体"/>
          <w:szCs w:val="21"/>
          <w:highlight w:val="none"/>
          <w:lang w:eastAsia="zh-CN"/>
        </w:rPr>
        <w:t>审核</w:t>
      </w:r>
      <w:r>
        <w:rPr>
          <w:rFonts w:hint="eastAsia" w:ascii="宋体" w:hAnsi="宋体"/>
          <w:szCs w:val="21"/>
        </w:rPr>
        <w:t>目的是确定控制是否</w:t>
      </w:r>
      <w:r>
        <w:rPr>
          <w:rFonts w:hint="eastAsia" w:ascii="宋体" w:hAnsi="宋体"/>
          <w:szCs w:val="21"/>
          <w:lang w:val="en-US" w:eastAsia="zh-CN"/>
        </w:rPr>
        <w:t>已实现且有效</w:t>
      </w:r>
      <w:r>
        <w:rPr>
          <w:rFonts w:hint="eastAsia" w:ascii="宋体" w:hAnsi="宋体"/>
          <w:szCs w:val="21"/>
        </w:rPr>
        <w:t>，是否满足其所</w:t>
      </w:r>
      <w:r>
        <w:rPr>
          <w:rFonts w:hint="eastAsia" w:ascii="宋体" w:hAnsi="宋体"/>
          <w:szCs w:val="21"/>
          <w:lang w:val="en-US" w:eastAsia="zh-CN"/>
        </w:rPr>
        <w:t>述</w:t>
      </w:r>
      <w:r>
        <w:rPr>
          <w:rFonts w:hint="eastAsia" w:ascii="宋体" w:hAnsi="宋体"/>
          <w:szCs w:val="21"/>
        </w:rPr>
        <w:t>的信息安全目标。</w:t>
      </w:r>
    </w:p>
    <w:p w14:paraId="2D47669E">
      <w:pPr>
        <w:ind w:firstLine="420" w:firstLineChars="200"/>
        <w:rPr>
          <w:rFonts w:ascii="宋体" w:hAnsi="宋体"/>
          <w:szCs w:val="21"/>
        </w:rPr>
      </w:pPr>
      <w:r>
        <w:rPr>
          <w:rFonts w:hint="eastAsia" w:ascii="宋体" w:hAnsi="宋体"/>
          <w:szCs w:val="21"/>
        </w:rPr>
        <w:t>通常，</w:t>
      </w:r>
      <w:r>
        <w:rPr>
          <w:rFonts w:hint="eastAsia" w:ascii="宋体" w:hAnsi="宋体"/>
          <w:szCs w:val="21"/>
          <w:lang w:val="en-US" w:eastAsia="zh-CN"/>
        </w:rPr>
        <w:t>只有在</w:t>
      </w:r>
      <w:r>
        <w:rPr>
          <w:rFonts w:hint="eastAsia" w:ascii="宋体" w:hAnsi="宋体"/>
          <w:szCs w:val="21"/>
        </w:rPr>
        <w:t>审核员访问组织</w:t>
      </w:r>
      <w:r>
        <w:rPr>
          <w:rFonts w:hint="eastAsia" w:ascii="宋体" w:hAnsi="宋体"/>
          <w:szCs w:val="21"/>
          <w:lang w:val="en-US" w:eastAsia="zh-CN"/>
        </w:rPr>
        <w:t>之</w:t>
      </w:r>
      <w:r>
        <w:rPr>
          <w:rFonts w:hint="eastAsia" w:ascii="宋体" w:hAnsi="宋体"/>
          <w:szCs w:val="21"/>
        </w:rPr>
        <w:t>后，认证机构才</w:t>
      </w:r>
      <w:r>
        <w:rPr>
          <w:rFonts w:hint="eastAsia" w:ascii="宋体" w:hAnsi="宋体"/>
          <w:szCs w:val="21"/>
          <w:lang w:val="en-US" w:eastAsia="zh-CN"/>
        </w:rPr>
        <w:t>能对</w:t>
      </w:r>
      <w:r>
        <w:rPr>
          <w:rFonts w:hint="eastAsia" w:ascii="宋体" w:hAnsi="宋体"/>
          <w:szCs w:val="21"/>
        </w:rPr>
        <w:t>组织的必要控制</w:t>
      </w:r>
      <w:r>
        <w:rPr>
          <w:rFonts w:hint="eastAsia" w:ascii="宋体" w:hAnsi="宋体"/>
          <w:szCs w:val="21"/>
          <w:lang w:val="en-US" w:eastAsia="zh-CN"/>
        </w:rPr>
        <w:t>有所了解</w:t>
      </w:r>
      <w:r>
        <w:rPr>
          <w:rFonts w:hint="eastAsia" w:ascii="宋体" w:hAnsi="宋体"/>
          <w:szCs w:val="21"/>
        </w:rPr>
        <w:t>。即使组织</w:t>
      </w:r>
      <w:r>
        <w:rPr>
          <w:rFonts w:hint="eastAsia" w:ascii="宋体" w:hAnsi="宋体"/>
          <w:szCs w:val="21"/>
          <w:lang w:val="en-US" w:eastAsia="zh-CN"/>
        </w:rPr>
        <w:t>在</w:t>
      </w:r>
      <w:r>
        <w:rPr>
          <w:rFonts w:hint="eastAsia" w:ascii="宋体" w:hAnsi="宋体"/>
          <w:szCs w:val="21"/>
        </w:rPr>
        <w:t>描述其</w:t>
      </w:r>
      <w:r>
        <w:rPr>
          <w:rFonts w:hint="eastAsia" w:ascii="宋体" w:hAnsi="宋体"/>
          <w:szCs w:val="21"/>
          <w:lang w:val="en-US" w:eastAsia="zh-CN"/>
        </w:rPr>
        <w:t>必要</w:t>
      </w:r>
      <w:r>
        <w:rPr>
          <w:rFonts w:hint="eastAsia" w:ascii="宋体" w:hAnsi="宋体"/>
          <w:szCs w:val="21"/>
        </w:rPr>
        <w:t>控制</w:t>
      </w:r>
      <w:r>
        <w:rPr>
          <w:rFonts w:hint="eastAsia" w:ascii="宋体" w:hAnsi="宋体"/>
          <w:szCs w:val="21"/>
          <w:lang w:val="en-US" w:eastAsia="zh-CN"/>
        </w:rPr>
        <w:t>时</w:t>
      </w:r>
      <w:r>
        <w:rPr>
          <w:rFonts w:hint="eastAsia" w:ascii="宋体" w:hAnsi="宋体"/>
          <w:szCs w:val="21"/>
        </w:rPr>
        <w:t>使用</w:t>
      </w:r>
      <w:r>
        <w:rPr>
          <w:rFonts w:hint="eastAsia" w:ascii="宋体" w:hAnsi="宋体"/>
          <w:szCs w:val="21"/>
          <w:lang w:val="en-US" w:eastAsia="zh-CN"/>
        </w:rPr>
        <w:t>与</w:t>
      </w:r>
      <w:r>
        <w:rPr>
          <w:rFonts w:hint="eastAsia" w:ascii="宋体" w:hAnsi="宋体"/>
          <w:szCs w:val="21"/>
        </w:rPr>
        <w:t>GB/T 22080—202X附录A相同的文本，认证机构</w:t>
      </w:r>
      <w:r>
        <w:rPr>
          <w:rFonts w:hint="eastAsia" w:ascii="宋体" w:hAnsi="宋体"/>
          <w:szCs w:val="21"/>
          <w:lang w:val="en-US" w:eastAsia="zh-CN"/>
        </w:rPr>
        <w:t>也无法了解这些</w:t>
      </w:r>
      <w:r>
        <w:rPr>
          <w:rFonts w:hint="eastAsia" w:ascii="宋体" w:hAnsi="宋体"/>
          <w:szCs w:val="21"/>
        </w:rPr>
        <w:t>信息安全控制之间的关系，或者信息安全控制与组织过程之间的关系。因此，最初的审核可</w:t>
      </w:r>
      <w:r>
        <w:rPr>
          <w:rFonts w:hint="eastAsia" w:ascii="宋体" w:hAnsi="宋体"/>
          <w:szCs w:val="21"/>
          <w:lang w:val="en-US" w:eastAsia="zh-CN"/>
        </w:rPr>
        <w:t>能</w:t>
      </w:r>
      <w:r>
        <w:rPr>
          <w:rFonts w:hint="eastAsia" w:ascii="宋体" w:hAnsi="宋体"/>
          <w:szCs w:val="21"/>
        </w:rPr>
        <w:t>局限于</w:t>
      </w:r>
      <w:r>
        <w:rPr>
          <w:rFonts w:hint="eastAsia" w:ascii="宋体" w:hAnsi="宋体"/>
          <w:szCs w:val="21"/>
          <w:lang w:val="en-US" w:eastAsia="zh-CN"/>
        </w:rPr>
        <w:t>各单项</w:t>
      </w:r>
      <w:r>
        <w:rPr>
          <w:rFonts w:hint="eastAsia" w:ascii="宋体" w:hAnsi="宋体"/>
          <w:szCs w:val="21"/>
        </w:rPr>
        <w:t>控制，而后续的审核</w:t>
      </w:r>
      <w:r>
        <w:rPr>
          <w:rFonts w:hint="eastAsia" w:ascii="宋体" w:hAnsi="宋体"/>
          <w:szCs w:val="21"/>
          <w:lang w:val="en-US" w:eastAsia="zh-CN"/>
        </w:rPr>
        <w:t>能</w:t>
      </w:r>
      <w:r>
        <w:rPr>
          <w:rFonts w:hint="eastAsia" w:ascii="宋体" w:hAnsi="宋体"/>
          <w:szCs w:val="21"/>
        </w:rPr>
        <w:t>在</w:t>
      </w:r>
      <w:r>
        <w:rPr>
          <w:rFonts w:hint="eastAsia" w:ascii="宋体" w:hAnsi="宋体"/>
          <w:szCs w:val="21"/>
          <w:lang w:val="en-US" w:eastAsia="zh-CN"/>
        </w:rPr>
        <w:t>了解</w:t>
      </w:r>
      <w:r>
        <w:rPr>
          <w:rFonts w:hint="eastAsia" w:ascii="宋体" w:hAnsi="宋体"/>
          <w:szCs w:val="21"/>
        </w:rPr>
        <w:t>部署控制的组织过程和风险</w:t>
      </w:r>
      <w:r>
        <w:rPr>
          <w:rFonts w:hint="eastAsia" w:ascii="宋体" w:hAnsi="宋体"/>
          <w:szCs w:val="21"/>
          <w:lang w:val="en-US" w:eastAsia="zh-CN"/>
        </w:rPr>
        <w:t>处置</w:t>
      </w:r>
      <w:r>
        <w:rPr>
          <w:rFonts w:hint="eastAsia" w:ascii="宋体" w:hAnsi="宋体"/>
          <w:szCs w:val="21"/>
        </w:rPr>
        <w:t>计划的</w:t>
      </w:r>
      <w:r>
        <w:rPr>
          <w:rFonts w:hint="eastAsia" w:ascii="宋体" w:hAnsi="宋体"/>
          <w:szCs w:val="21"/>
          <w:lang w:val="en-US" w:eastAsia="zh-CN"/>
        </w:rPr>
        <w:t>情况下，</w:t>
      </w:r>
      <w:r>
        <w:rPr>
          <w:rFonts w:hint="eastAsia" w:ascii="宋体" w:hAnsi="宋体"/>
          <w:szCs w:val="21"/>
        </w:rPr>
        <w:t>采用更有效的</w:t>
      </w:r>
      <w:r>
        <w:rPr>
          <w:rFonts w:hint="eastAsia" w:ascii="宋体" w:hAnsi="宋体"/>
          <w:szCs w:val="21"/>
          <w:lang w:val="en-US" w:eastAsia="zh-CN"/>
        </w:rPr>
        <w:t>方法来</w:t>
      </w:r>
      <w:r>
        <w:rPr>
          <w:rFonts w:hint="eastAsia" w:ascii="宋体" w:hAnsi="宋体"/>
          <w:szCs w:val="21"/>
        </w:rPr>
        <w:t>审核控制。</w:t>
      </w:r>
    </w:p>
    <w:p w14:paraId="6CCAA128">
      <w:pPr>
        <w:ind w:firstLine="420" w:firstLineChars="200"/>
        <w:rPr>
          <w:rFonts w:ascii="宋体" w:hAnsi="宋体"/>
          <w:szCs w:val="21"/>
        </w:rPr>
      </w:pPr>
      <w:r>
        <w:rPr>
          <w:rFonts w:hint="eastAsia" w:ascii="宋体" w:hAnsi="宋体"/>
          <w:szCs w:val="21"/>
          <w:lang w:val="en-US" w:eastAsia="zh-CN"/>
        </w:rPr>
        <w:t>然而</w:t>
      </w:r>
      <w:r>
        <w:rPr>
          <w:rFonts w:hint="eastAsia" w:ascii="宋体" w:hAnsi="宋体"/>
          <w:szCs w:val="21"/>
        </w:rPr>
        <w:t>，认证机构</w:t>
      </w:r>
      <w:r>
        <w:rPr>
          <w:rFonts w:hint="eastAsia" w:ascii="宋体" w:hAnsi="宋体"/>
          <w:szCs w:val="21"/>
          <w:lang w:val="en-US" w:eastAsia="zh-CN"/>
        </w:rPr>
        <w:t>要知晓：</w:t>
      </w:r>
      <w:r>
        <w:rPr>
          <w:rFonts w:hint="eastAsia" w:ascii="宋体" w:hAnsi="宋体"/>
          <w:szCs w:val="21"/>
        </w:rPr>
        <w:t>组织需要将其必要控制与GB/T 22080—202X</w:t>
      </w:r>
      <w:r>
        <w:rPr>
          <w:rFonts w:hint="eastAsia" w:ascii="宋体" w:hAnsi="宋体"/>
          <w:szCs w:val="21"/>
          <w:lang w:val="en-US" w:eastAsia="zh-CN"/>
        </w:rPr>
        <w:t>附录</w:t>
      </w:r>
      <w:r>
        <w:rPr>
          <w:rFonts w:hint="eastAsia" w:ascii="宋体" w:hAnsi="宋体"/>
          <w:szCs w:val="21"/>
        </w:rPr>
        <w:t>A中的控制进行比较，因此组织的必要控制与GB/T 22080—202X</w:t>
      </w:r>
      <w:r>
        <w:rPr>
          <w:rFonts w:hint="eastAsia" w:ascii="宋体" w:hAnsi="宋体"/>
          <w:szCs w:val="21"/>
          <w:lang w:val="en-US" w:eastAsia="zh-CN"/>
        </w:rPr>
        <w:t>附录A</w:t>
      </w:r>
      <w:r>
        <w:rPr>
          <w:rFonts w:hint="eastAsia" w:ascii="宋体" w:hAnsi="宋体"/>
          <w:szCs w:val="21"/>
        </w:rPr>
        <w:t>中的控制之间存在</w:t>
      </w:r>
      <w:r>
        <w:rPr>
          <w:rFonts w:hint="eastAsia" w:ascii="宋体" w:hAnsi="宋体"/>
          <w:szCs w:val="21"/>
          <w:lang w:val="en-US" w:eastAsia="zh-CN"/>
        </w:rPr>
        <w:t>对应</w:t>
      </w:r>
      <w:r>
        <w:rPr>
          <w:rFonts w:hint="eastAsia" w:ascii="宋体" w:hAnsi="宋体"/>
          <w:szCs w:val="21"/>
        </w:rPr>
        <w:t>关系。</w:t>
      </w:r>
      <w:r>
        <w:rPr>
          <w:rFonts w:hint="eastAsia" w:ascii="宋体" w:hAnsi="宋体"/>
          <w:szCs w:val="21"/>
          <w:lang w:val="en-US" w:eastAsia="zh-CN"/>
        </w:rPr>
        <w:t>基于这种关系，</w:t>
      </w:r>
      <w:r>
        <w:rPr>
          <w:rFonts w:hint="eastAsia" w:ascii="宋体" w:hAnsi="宋体"/>
          <w:szCs w:val="21"/>
        </w:rPr>
        <w:t>认证机构</w:t>
      </w:r>
      <w:r>
        <w:rPr>
          <w:rFonts w:hint="eastAsia" w:ascii="宋体" w:hAnsi="宋体"/>
          <w:szCs w:val="21"/>
          <w:lang w:val="en-US" w:eastAsia="zh-CN"/>
        </w:rPr>
        <w:t>在根据</w:t>
      </w:r>
      <w:r>
        <w:rPr>
          <w:rFonts w:hint="eastAsia" w:ascii="宋体" w:hAnsi="宋体"/>
          <w:szCs w:val="21"/>
        </w:rPr>
        <w:t>客户确定的必要控制制定审核计划</w:t>
      </w:r>
      <w:r>
        <w:rPr>
          <w:rFonts w:hint="eastAsia" w:ascii="宋体" w:hAnsi="宋体"/>
          <w:szCs w:val="21"/>
          <w:lang w:val="en-US" w:eastAsia="zh-CN"/>
        </w:rPr>
        <w:t>时，</w:t>
      </w:r>
      <w:r>
        <w:rPr>
          <w:rFonts w:hint="eastAsia" w:ascii="宋体" w:hAnsi="宋体"/>
          <w:szCs w:val="21"/>
        </w:rPr>
        <w:t>表E.1中的指南</w:t>
      </w:r>
      <w:r>
        <w:rPr>
          <w:rFonts w:hint="eastAsia" w:ascii="宋体" w:hAnsi="宋体"/>
          <w:szCs w:val="21"/>
          <w:lang w:val="en-US" w:eastAsia="zh-CN"/>
        </w:rPr>
        <w:t>能提供支持</w:t>
      </w:r>
      <w:r>
        <w:rPr>
          <w:rFonts w:hint="eastAsia" w:ascii="宋体" w:hAnsi="宋体"/>
          <w:szCs w:val="21"/>
        </w:rPr>
        <w:t>。</w:t>
      </w:r>
    </w:p>
    <w:p w14:paraId="18D01A68">
      <w:pPr>
        <w:pStyle w:val="70"/>
        <w:numPr>
          <w:ilvl w:val="0"/>
          <w:numId w:val="0"/>
        </w:numPr>
        <w:spacing w:before="156" w:after="156"/>
        <w:rPr>
          <w:rFonts w:hAnsi="黑体"/>
          <w:lang w:val="de-DE"/>
        </w:rPr>
      </w:pPr>
      <w:r>
        <w:rPr>
          <w:rFonts w:hint="eastAsia" w:hAnsi="黑体"/>
          <w:lang w:val="de-DE"/>
        </w:rPr>
        <w:t>E</w:t>
      </w:r>
      <w:r>
        <w:rPr>
          <w:rFonts w:hAnsi="黑体"/>
          <w:lang w:val="de-DE"/>
        </w:rPr>
        <w:t>.</w:t>
      </w:r>
      <w:r>
        <w:rPr>
          <w:rFonts w:hint="eastAsia" w:hAnsi="黑体"/>
          <w:lang w:val="de-DE"/>
        </w:rPr>
        <w:t>2　如何使用表E.1</w:t>
      </w:r>
    </w:p>
    <w:p w14:paraId="2917681F">
      <w:pPr>
        <w:pStyle w:val="70"/>
        <w:numPr>
          <w:ilvl w:val="0"/>
          <w:numId w:val="0"/>
        </w:numPr>
        <w:spacing w:before="156" w:after="156"/>
        <w:rPr>
          <w:rFonts w:hAnsi="黑体"/>
          <w:lang w:val="de-DE"/>
        </w:rPr>
      </w:pPr>
      <w:r>
        <w:rPr>
          <w:rFonts w:hint="eastAsia" w:hAnsi="黑体"/>
          <w:lang w:val="de-DE"/>
        </w:rPr>
        <w:t>E.2.1　总则</w:t>
      </w:r>
    </w:p>
    <w:p w14:paraId="2DC5A2A7">
      <w:pPr>
        <w:ind w:firstLine="420" w:firstLineChars="200"/>
        <w:rPr>
          <w:rFonts w:ascii="宋体" w:hAnsi="宋体"/>
          <w:szCs w:val="21"/>
        </w:rPr>
      </w:pPr>
      <w:r>
        <w:rPr>
          <w:rFonts w:hint="eastAsia" w:ascii="宋体" w:hAnsi="宋体"/>
          <w:szCs w:val="21"/>
        </w:rPr>
        <w:t>表E.1提供了</w:t>
      </w:r>
      <w:r>
        <w:rPr>
          <w:rFonts w:hint="eastAsia" w:ascii="宋体" w:hAnsi="宋体"/>
          <w:szCs w:val="21"/>
          <w:highlight w:val="none"/>
        </w:rPr>
        <w:t>必要</w:t>
      </w:r>
      <w:r>
        <w:rPr>
          <w:rFonts w:hint="eastAsia" w:ascii="宋体" w:hAnsi="宋体"/>
          <w:szCs w:val="21"/>
        </w:rPr>
        <w:t>控制的</w:t>
      </w:r>
      <w:r>
        <w:rPr>
          <w:rFonts w:hint="eastAsia" w:ascii="宋体" w:hAnsi="宋体"/>
          <w:szCs w:val="21"/>
          <w:highlight w:val="none"/>
          <w:lang w:val="en-US" w:eastAsia="zh-CN"/>
        </w:rPr>
        <w:t>审核</w:t>
      </w:r>
      <w:r>
        <w:rPr>
          <w:rFonts w:hint="eastAsia" w:ascii="宋体" w:hAnsi="宋体"/>
          <w:szCs w:val="21"/>
          <w:lang w:val="en-US" w:eastAsia="zh-CN"/>
        </w:rPr>
        <w:t>指南示例</w:t>
      </w:r>
      <w:r>
        <w:rPr>
          <w:rFonts w:hint="eastAsia" w:ascii="宋体" w:hAnsi="宋体"/>
          <w:szCs w:val="21"/>
        </w:rPr>
        <w:t>。</w:t>
      </w:r>
      <w:r>
        <w:rPr>
          <w:rFonts w:hint="eastAsia" w:ascii="宋体" w:hAnsi="宋体"/>
          <w:szCs w:val="21"/>
          <w:lang w:val="en-US" w:eastAsia="zh-CN"/>
        </w:rPr>
        <w:t>表E.1使用的是</w:t>
      </w:r>
      <w:r>
        <w:rPr>
          <w:rFonts w:hint="eastAsia" w:ascii="宋体" w:hAnsi="宋体"/>
          <w:szCs w:val="21"/>
        </w:rPr>
        <w:t>GB/T 22080—202X附件A中的控制</w:t>
      </w:r>
      <w:r>
        <w:rPr>
          <w:rFonts w:hint="eastAsia" w:ascii="宋体" w:hAnsi="宋体"/>
          <w:szCs w:val="21"/>
          <w:lang w:eastAsia="zh-CN"/>
        </w:rPr>
        <w:t>，</w:t>
      </w:r>
      <w:r>
        <w:rPr>
          <w:rFonts w:hint="eastAsia" w:ascii="宋体" w:hAnsi="宋体"/>
          <w:szCs w:val="21"/>
          <w:lang w:val="en-US" w:eastAsia="zh-CN"/>
        </w:rPr>
        <w:t>然而，在收集证实控制有效性的审核证据时，</w:t>
      </w:r>
      <w:r>
        <w:rPr>
          <w:rFonts w:hint="eastAsia" w:ascii="宋体" w:hAnsi="宋体"/>
          <w:szCs w:val="21"/>
        </w:rPr>
        <w:t>审核员</w:t>
      </w:r>
      <w:r>
        <w:rPr>
          <w:rFonts w:hint="eastAsia" w:ascii="宋体" w:hAnsi="宋体"/>
          <w:szCs w:val="21"/>
          <w:lang w:val="en-US" w:eastAsia="zh-CN"/>
        </w:rPr>
        <w:t>宜</w:t>
      </w:r>
      <w:r>
        <w:rPr>
          <w:rFonts w:hint="eastAsia" w:ascii="宋体" w:hAnsi="宋体"/>
          <w:szCs w:val="21"/>
        </w:rPr>
        <w:t>使用GB/T 22080—202X附件A中的控制与组织必要控制之间的</w:t>
      </w:r>
      <w:r>
        <w:rPr>
          <w:rFonts w:hint="eastAsia" w:ascii="宋体" w:hAnsi="宋体"/>
          <w:szCs w:val="21"/>
          <w:lang w:val="en-US" w:eastAsia="zh-CN"/>
        </w:rPr>
        <w:t>对应</w:t>
      </w:r>
      <w:r>
        <w:rPr>
          <w:rFonts w:hint="eastAsia" w:ascii="宋体" w:hAnsi="宋体"/>
          <w:szCs w:val="21"/>
        </w:rPr>
        <w:t>关系来</w:t>
      </w:r>
      <w:r>
        <w:rPr>
          <w:rFonts w:hint="eastAsia" w:ascii="宋体" w:hAnsi="宋体"/>
          <w:szCs w:val="21"/>
          <w:lang w:val="en-US" w:eastAsia="zh-CN"/>
        </w:rPr>
        <w:t>理解</w:t>
      </w:r>
      <w:r>
        <w:rPr>
          <w:rFonts w:hint="eastAsia" w:ascii="宋体" w:hAnsi="宋体"/>
          <w:szCs w:val="21"/>
        </w:rPr>
        <w:t>表E.1中的</w:t>
      </w:r>
      <w:r>
        <w:rPr>
          <w:rFonts w:hint="eastAsia" w:ascii="宋体" w:hAnsi="宋体"/>
          <w:szCs w:val="21"/>
          <w:lang w:val="en-US" w:eastAsia="zh-CN"/>
        </w:rPr>
        <w:t>指南</w:t>
      </w:r>
      <w:r>
        <w:rPr>
          <w:rFonts w:hint="eastAsia" w:ascii="宋体" w:hAnsi="宋体"/>
          <w:szCs w:val="21"/>
        </w:rPr>
        <w:t>。</w:t>
      </w:r>
    </w:p>
    <w:p w14:paraId="4EA4DB06">
      <w:pPr>
        <w:ind w:firstLine="360" w:firstLineChars="200"/>
        <w:rPr>
          <w:rFonts w:ascii="宋体" w:hAnsi="宋体"/>
          <w:sz w:val="18"/>
          <w:szCs w:val="18"/>
        </w:rPr>
      </w:pPr>
      <w:r>
        <w:rPr>
          <w:rFonts w:hint="eastAsia" w:ascii="黑体" w:hAnsi="黑体" w:eastAsia="黑体" w:cs="黑体"/>
          <w:sz w:val="18"/>
          <w:szCs w:val="18"/>
        </w:rPr>
        <w:t>注：</w:t>
      </w:r>
      <w:r>
        <w:rPr>
          <w:rFonts w:hint="eastAsia" w:ascii="宋体" w:hAnsi="宋体"/>
          <w:sz w:val="18"/>
          <w:szCs w:val="18"/>
        </w:rPr>
        <w:t>表E.1</w:t>
      </w:r>
      <w:r>
        <w:rPr>
          <w:rFonts w:hint="eastAsia" w:ascii="宋体" w:hAnsi="宋体"/>
          <w:sz w:val="18"/>
          <w:szCs w:val="18"/>
          <w:lang w:val="en-US" w:eastAsia="zh-CN"/>
        </w:rPr>
        <w:t>没有</w:t>
      </w:r>
      <w:r>
        <w:rPr>
          <w:rFonts w:hint="eastAsia" w:ascii="宋体" w:hAnsi="宋体"/>
          <w:sz w:val="18"/>
          <w:szCs w:val="18"/>
        </w:rPr>
        <w:t>为</w:t>
      </w:r>
      <w:r>
        <w:rPr>
          <w:rFonts w:hint="eastAsia" w:ascii="宋体" w:hAnsi="宋体"/>
          <w:sz w:val="18"/>
          <w:szCs w:val="18"/>
          <w:lang w:val="en-US" w:eastAsia="zh-CN"/>
        </w:rPr>
        <w:t>GB/T 22080—202X</w:t>
      </w:r>
      <w:r>
        <w:rPr>
          <w:rFonts w:hint="eastAsia" w:ascii="宋体" w:hAnsi="宋体"/>
          <w:sz w:val="18"/>
          <w:szCs w:val="18"/>
        </w:rPr>
        <w:t>附录A</w:t>
      </w:r>
      <w:r>
        <w:rPr>
          <w:rFonts w:hint="eastAsia" w:ascii="宋体" w:hAnsi="宋体"/>
          <w:sz w:val="18"/>
          <w:szCs w:val="18"/>
          <w:lang w:val="en-US" w:eastAsia="zh-CN"/>
        </w:rPr>
        <w:t>之外的</w:t>
      </w:r>
      <w:r>
        <w:rPr>
          <w:rFonts w:hint="eastAsia" w:ascii="宋体" w:hAnsi="宋体"/>
          <w:sz w:val="18"/>
          <w:szCs w:val="18"/>
        </w:rPr>
        <w:t>控制提供</w:t>
      </w:r>
      <w:r>
        <w:rPr>
          <w:rFonts w:hint="eastAsia" w:ascii="宋体" w:hAnsi="宋体"/>
          <w:sz w:val="18"/>
          <w:szCs w:val="18"/>
          <w:highlight w:val="none"/>
          <w:lang w:val="en-US" w:eastAsia="zh-CN"/>
        </w:rPr>
        <w:t>审核指</w:t>
      </w:r>
      <w:r>
        <w:rPr>
          <w:rFonts w:hint="eastAsia" w:ascii="宋体" w:hAnsi="宋体"/>
          <w:sz w:val="18"/>
          <w:szCs w:val="18"/>
          <w:lang w:val="en-US" w:eastAsia="zh-CN"/>
        </w:rPr>
        <w:t>南</w:t>
      </w:r>
      <w:r>
        <w:rPr>
          <w:rFonts w:hint="eastAsia" w:ascii="宋体" w:hAnsi="宋体"/>
          <w:sz w:val="18"/>
          <w:szCs w:val="18"/>
        </w:rPr>
        <w:t>。</w:t>
      </w:r>
    </w:p>
    <w:p w14:paraId="02D2D54B">
      <w:pPr>
        <w:ind w:firstLine="420" w:firstLineChars="200"/>
        <w:rPr>
          <w:rFonts w:ascii="宋体" w:hAnsi="宋体"/>
          <w:szCs w:val="21"/>
        </w:rPr>
      </w:pPr>
      <w:r>
        <w:rPr>
          <w:rFonts w:hint="eastAsia" w:ascii="宋体" w:hAnsi="宋体"/>
          <w:szCs w:val="21"/>
        </w:rPr>
        <w:t>大多数控制</w:t>
      </w:r>
      <w:r>
        <w:rPr>
          <w:rFonts w:hint="eastAsia" w:ascii="宋体" w:hAnsi="宋体"/>
          <w:szCs w:val="21"/>
          <w:lang w:val="en-US" w:eastAsia="zh-CN"/>
        </w:rPr>
        <w:t>是具有</w:t>
      </w:r>
      <w:r>
        <w:rPr>
          <w:rFonts w:hint="eastAsia" w:ascii="宋体" w:hAnsi="宋体"/>
          <w:szCs w:val="21"/>
        </w:rPr>
        <w:t>组织</w:t>
      </w:r>
      <w:r>
        <w:rPr>
          <w:rFonts w:hint="eastAsia" w:ascii="宋体" w:hAnsi="宋体"/>
          <w:szCs w:val="21"/>
          <w:lang w:val="en-US" w:eastAsia="zh-CN"/>
        </w:rPr>
        <w:t>性的</w:t>
      </w:r>
      <w:r>
        <w:rPr>
          <w:rFonts w:hint="eastAsia" w:ascii="宋体" w:hAnsi="宋体"/>
          <w:szCs w:val="21"/>
        </w:rPr>
        <w:t>且</w:t>
      </w:r>
      <w:r>
        <w:rPr>
          <w:rFonts w:hint="eastAsia" w:ascii="宋体" w:hAnsi="宋体"/>
          <w:szCs w:val="21"/>
          <w:lang w:val="en-US" w:eastAsia="zh-CN"/>
        </w:rPr>
        <w:t>能够</w:t>
      </w:r>
      <w:r>
        <w:rPr>
          <w:rFonts w:hint="eastAsia" w:ascii="宋体" w:hAnsi="宋体"/>
          <w:szCs w:val="21"/>
        </w:rPr>
        <w:t>被证实，例如，</w:t>
      </w:r>
      <w:r>
        <w:rPr>
          <w:rFonts w:hint="eastAsia" w:ascii="宋体" w:hAnsi="宋体"/>
          <w:szCs w:val="21"/>
          <w:lang w:val="en-US" w:eastAsia="zh-CN"/>
        </w:rPr>
        <w:t>通过</w:t>
      </w:r>
      <w:r>
        <w:rPr>
          <w:rFonts w:hint="eastAsia" w:ascii="宋体" w:hAnsi="宋体"/>
          <w:szCs w:val="21"/>
        </w:rPr>
        <w:t>面谈或观察</w:t>
      </w:r>
      <w:r>
        <w:rPr>
          <w:rFonts w:hint="eastAsia" w:ascii="宋体" w:hAnsi="宋体"/>
          <w:szCs w:val="21"/>
          <w:lang w:eastAsia="zh-CN"/>
        </w:rPr>
        <w:t>，</w:t>
      </w:r>
      <w:r>
        <w:rPr>
          <w:rFonts w:hint="eastAsia" w:ascii="宋体" w:hAnsi="宋体"/>
          <w:szCs w:val="21"/>
          <w:lang w:val="en-US" w:eastAsia="zh-CN"/>
        </w:rPr>
        <w:t>审核</w:t>
      </w:r>
      <w:r>
        <w:rPr>
          <w:rFonts w:hint="eastAsia" w:ascii="宋体" w:hAnsi="宋体"/>
          <w:szCs w:val="21"/>
        </w:rPr>
        <w:t>客户关于控制、过程或</w:t>
      </w:r>
      <w:r>
        <w:rPr>
          <w:rFonts w:hint="eastAsia" w:ascii="宋体" w:hAnsi="宋体"/>
          <w:szCs w:val="21"/>
          <w:lang w:val="en-US" w:eastAsia="zh-CN"/>
        </w:rPr>
        <w:t>规程</w:t>
      </w:r>
      <w:r>
        <w:rPr>
          <w:rFonts w:hint="eastAsia" w:ascii="宋体" w:hAnsi="宋体"/>
          <w:szCs w:val="21"/>
        </w:rPr>
        <w:t>的文件。</w:t>
      </w:r>
    </w:p>
    <w:p w14:paraId="5539DA9A">
      <w:pPr>
        <w:ind w:firstLine="420" w:firstLineChars="200"/>
        <w:rPr>
          <w:rFonts w:ascii="宋体" w:hAnsi="宋体"/>
          <w:szCs w:val="21"/>
        </w:rPr>
      </w:pPr>
      <w:r>
        <w:rPr>
          <w:rFonts w:hint="eastAsia" w:ascii="宋体" w:hAnsi="宋体"/>
          <w:szCs w:val="21"/>
          <w:lang w:val="en-US" w:eastAsia="zh-CN"/>
        </w:rPr>
        <w:t>多数</w:t>
      </w:r>
      <w:r>
        <w:rPr>
          <w:rFonts w:hint="eastAsia" w:ascii="宋体" w:hAnsi="宋体"/>
          <w:szCs w:val="21"/>
        </w:rPr>
        <w:t>控制是基于客户制定的规则。这些规则</w:t>
      </w:r>
      <w:r>
        <w:rPr>
          <w:rFonts w:hint="eastAsia" w:ascii="宋体" w:hAnsi="宋体"/>
          <w:szCs w:val="21"/>
          <w:lang w:val="en-US" w:eastAsia="zh-CN"/>
        </w:rPr>
        <w:t>能</w:t>
      </w:r>
      <w:r>
        <w:rPr>
          <w:rFonts w:hint="eastAsia" w:ascii="宋体" w:hAnsi="宋体"/>
          <w:szCs w:val="21"/>
        </w:rPr>
        <w:t>是特定主题</w:t>
      </w:r>
      <w:r>
        <w:rPr>
          <w:rFonts w:hint="eastAsia" w:ascii="宋体" w:hAnsi="宋体"/>
          <w:szCs w:val="21"/>
          <w:lang w:val="en-US" w:eastAsia="zh-CN"/>
        </w:rPr>
        <w:t>策略</w:t>
      </w:r>
      <w:r>
        <w:rPr>
          <w:rFonts w:hint="eastAsia" w:ascii="宋体" w:hAnsi="宋体"/>
          <w:szCs w:val="21"/>
        </w:rPr>
        <w:t>、</w:t>
      </w:r>
      <w:r>
        <w:rPr>
          <w:rFonts w:hint="eastAsia" w:ascii="宋体" w:hAnsi="宋体"/>
          <w:szCs w:val="21"/>
          <w:lang w:val="en-US" w:eastAsia="zh-CN"/>
        </w:rPr>
        <w:t>过程</w:t>
      </w:r>
      <w:r>
        <w:rPr>
          <w:rFonts w:hint="eastAsia" w:ascii="宋体" w:hAnsi="宋体"/>
          <w:szCs w:val="21"/>
        </w:rPr>
        <w:t>或</w:t>
      </w:r>
      <w:r>
        <w:rPr>
          <w:rFonts w:hint="eastAsia" w:ascii="宋体" w:hAnsi="宋体"/>
          <w:szCs w:val="21"/>
          <w:lang w:val="en-US" w:eastAsia="zh-CN"/>
        </w:rPr>
        <w:t>规程</w:t>
      </w:r>
      <w:r>
        <w:rPr>
          <w:rFonts w:hint="eastAsia" w:ascii="宋体" w:hAnsi="宋体"/>
          <w:szCs w:val="21"/>
        </w:rPr>
        <w:t>中的要求，或传达给</w:t>
      </w:r>
      <w:r>
        <w:rPr>
          <w:rFonts w:hint="eastAsia" w:ascii="宋体" w:hAnsi="宋体"/>
          <w:szCs w:val="21"/>
          <w:lang w:val="en-US" w:eastAsia="zh-CN"/>
        </w:rPr>
        <w:t>工作</w:t>
      </w:r>
      <w:r>
        <w:rPr>
          <w:rFonts w:hint="eastAsia" w:ascii="宋体" w:hAnsi="宋体"/>
          <w:szCs w:val="21"/>
        </w:rPr>
        <w:t>人员的其他类型的规则。表E.1使用通用术语“规则”来表示由客户管理层设定的要求或期望。</w:t>
      </w:r>
    </w:p>
    <w:p w14:paraId="1973BC2A">
      <w:pPr>
        <w:ind w:firstLine="420" w:firstLineChars="200"/>
        <w:rPr>
          <w:rFonts w:ascii="宋体" w:hAnsi="宋体"/>
          <w:szCs w:val="21"/>
        </w:rPr>
      </w:pPr>
      <w:r>
        <w:rPr>
          <w:rFonts w:hint="eastAsia" w:ascii="宋体" w:hAnsi="宋体"/>
          <w:szCs w:val="21"/>
          <w:lang w:val="en-US" w:eastAsia="zh-CN"/>
        </w:rPr>
        <w:t>多数</w:t>
      </w:r>
      <w:r>
        <w:rPr>
          <w:rFonts w:hint="eastAsia" w:ascii="宋体" w:hAnsi="宋体"/>
          <w:szCs w:val="21"/>
        </w:rPr>
        <w:t>控制</w:t>
      </w:r>
      <w:r>
        <w:rPr>
          <w:rFonts w:hint="eastAsia" w:ascii="宋体" w:hAnsi="宋体"/>
          <w:szCs w:val="21"/>
          <w:lang w:val="en-US" w:eastAsia="zh-CN"/>
        </w:rPr>
        <w:t>能通过抽样来验证</w:t>
      </w:r>
      <w:r>
        <w:rPr>
          <w:rFonts w:hint="eastAsia" w:ascii="宋体" w:hAnsi="宋体"/>
          <w:szCs w:val="21"/>
        </w:rPr>
        <w:t>，即</w:t>
      </w:r>
      <w:r>
        <w:rPr>
          <w:rFonts w:hint="eastAsia" w:ascii="宋体" w:hAnsi="宋体"/>
          <w:szCs w:val="21"/>
          <w:lang w:eastAsia="zh-CN"/>
        </w:rPr>
        <w:t>审核</w:t>
      </w:r>
      <w:r>
        <w:rPr>
          <w:rFonts w:hint="eastAsia" w:ascii="宋体" w:hAnsi="宋体"/>
          <w:szCs w:val="21"/>
        </w:rPr>
        <w:t>控制活动结果的样本。</w:t>
      </w:r>
    </w:p>
    <w:p w14:paraId="020D05FC">
      <w:pPr>
        <w:pStyle w:val="70"/>
        <w:numPr>
          <w:ilvl w:val="0"/>
          <w:numId w:val="0"/>
        </w:numPr>
        <w:spacing w:before="156" w:after="156"/>
        <w:rPr>
          <w:rFonts w:hAnsi="黑体"/>
          <w:lang w:val="de-DE"/>
        </w:rPr>
      </w:pPr>
      <w:r>
        <w:rPr>
          <w:rFonts w:hint="eastAsia" w:hAnsi="黑体"/>
          <w:lang w:val="de-DE"/>
        </w:rPr>
        <w:t>E</w:t>
      </w:r>
      <w:r>
        <w:rPr>
          <w:rFonts w:hAnsi="黑体"/>
          <w:lang w:val="de-DE"/>
        </w:rPr>
        <w:t>.</w:t>
      </w:r>
      <w:r>
        <w:rPr>
          <w:rFonts w:hint="eastAsia" w:hAnsi="黑体"/>
          <w:lang w:val="de-DE"/>
        </w:rPr>
        <w:t>2</w:t>
      </w:r>
      <w:r>
        <w:rPr>
          <w:rFonts w:hAnsi="黑体"/>
          <w:lang w:val="de-DE"/>
        </w:rPr>
        <w:t>.</w:t>
      </w:r>
      <w:r>
        <w:rPr>
          <w:rFonts w:hint="eastAsia" w:hAnsi="黑体"/>
          <w:lang w:val="de-DE"/>
        </w:rPr>
        <w:t>2　“系统测试”列</w:t>
      </w:r>
    </w:p>
    <w:p w14:paraId="3B49F71D">
      <w:pPr>
        <w:ind w:firstLine="420" w:firstLineChars="200"/>
        <w:rPr>
          <w:rFonts w:hint="eastAsia" w:ascii="宋体" w:hAnsi="宋体"/>
          <w:szCs w:val="21"/>
        </w:rPr>
      </w:pPr>
      <w:r>
        <w:rPr>
          <w:rFonts w:hint="default" w:ascii="宋体" w:hAnsi="宋体"/>
          <w:szCs w:val="21"/>
        </w:rPr>
        <w:t>GB/T 22080—202X</w:t>
      </w:r>
      <w:r>
        <w:rPr>
          <w:rFonts w:hint="eastAsia" w:ascii="宋体" w:hAnsi="宋体"/>
          <w:szCs w:val="21"/>
          <w:lang w:val="en-US" w:eastAsia="zh-CN"/>
        </w:rPr>
        <w:t>附录A中的多数控制是作为技术控制，例如，通过特定的系统设置、配置或技术功能。通常是通过系统设置或通过使用专门的审计或报告工具来收集技术控制的实施证据。</w:t>
      </w:r>
      <w:r>
        <w:rPr>
          <w:rFonts w:hint="eastAsia" w:ascii="宋体" w:hAnsi="宋体"/>
          <w:szCs w:val="21"/>
        </w:rPr>
        <w:t>系统测试是指对信息系统的直接</w:t>
      </w:r>
      <w:r>
        <w:rPr>
          <w:rFonts w:hint="eastAsia" w:ascii="宋体" w:hAnsi="宋体"/>
          <w:szCs w:val="21"/>
          <w:lang w:val="en-US" w:eastAsia="zh-CN"/>
        </w:rPr>
        <w:t>审核</w:t>
      </w:r>
      <w:r>
        <w:rPr>
          <w:rFonts w:hint="eastAsia" w:ascii="宋体" w:hAnsi="宋体"/>
          <w:szCs w:val="21"/>
          <w:lang w:eastAsia="zh-CN"/>
        </w:rPr>
        <w:t>：</w:t>
      </w:r>
      <w:r>
        <w:rPr>
          <w:rFonts w:hint="eastAsia" w:ascii="宋体" w:hAnsi="宋体"/>
          <w:szCs w:val="21"/>
          <w:lang w:val="en-US" w:eastAsia="zh-CN"/>
        </w:rPr>
        <w:t>审核员</w:t>
      </w:r>
      <w:r>
        <w:rPr>
          <w:rFonts w:hint="eastAsia" w:ascii="宋体" w:hAnsi="宋体"/>
          <w:szCs w:val="21"/>
        </w:rPr>
        <w:t>能</w:t>
      </w:r>
      <w:r>
        <w:rPr>
          <w:rFonts w:hint="eastAsia" w:ascii="宋体" w:hAnsi="宋体"/>
          <w:szCs w:val="21"/>
          <w:lang w:eastAsia="zh-CN"/>
        </w:rPr>
        <w:t>审核</w:t>
      </w:r>
      <w:r>
        <w:rPr>
          <w:rFonts w:hint="eastAsia" w:ascii="宋体" w:hAnsi="宋体"/>
          <w:szCs w:val="21"/>
        </w:rPr>
        <w:t>系统设置和配置，或评价测试工具的测试结果。如果审核员了解客户使用的</w:t>
      </w:r>
      <w:r>
        <w:rPr>
          <w:rFonts w:hint="eastAsia" w:ascii="宋体" w:hAnsi="宋体"/>
          <w:szCs w:val="21"/>
          <w:lang w:val="en-US" w:eastAsia="zh-CN"/>
        </w:rPr>
        <w:t>测试</w:t>
      </w:r>
      <w:r>
        <w:rPr>
          <w:rFonts w:hint="eastAsia" w:ascii="宋体" w:hAnsi="宋体"/>
          <w:szCs w:val="21"/>
        </w:rPr>
        <w:t>工具，那么</w:t>
      </w:r>
      <w:r>
        <w:rPr>
          <w:rFonts w:hint="eastAsia" w:ascii="宋体" w:hAnsi="宋体"/>
          <w:szCs w:val="21"/>
          <w:lang w:val="en-US" w:eastAsia="zh-CN"/>
        </w:rPr>
        <w:t>这些</w:t>
      </w:r>
      <w:r>
        <w:rPr>
          <w:rFonts w:hint="eastAsia" w:ascii="宋体" w:hAnsi="宋体"/>
          <w:szCs w:val="21"/>
        </w:rPr>
        <w:t>工具</w:t>
      </w:r>
      <w:r>
        <w:rPr>
          <w:rFonts w:hint="eastAsia" w:ascii="宋体" w:hAnsi="宋体"/>
          <w:szCs w:val="21"/>
          <w:lang w:val="en-US" w:eastAsia="zh-CN"/>
        </w:rPr>
        <w:t>也能用</w:t>
      </w:r>
      <w:r>
        <w:rPr>
          <w:rFonts w:hint="eastAsia" w:ascii="宋体" w:hAnsi="宋体"/>
          <w:szCs w:val="21"/>
        </w:rPr>
        <w:t>来支持审核，或者</w:t>
      </w:r>
      <w:r>
        <w:rPr>
          <w:rFonts w:hint="eastAsia" w:ascii="宋体" w:hAnsi="宋体"/>
          <w:szCs w:val="21"/>
          <w:lang w:val="en-US" w:eastAsia="zh-CN"/>
        </w:rPr>
        <w:t>审核员能审核</w:t>
      </w:r>
      <w:r>
        <w:rPr>
          <w:rFonts w:hint="eastAsia" w:ascii="宋体" w:hAnsi="宋体"/>
          <w:szCs w:val="21"/>
        </w:rPr>
        <w:t>由客户实施的评价的结果。</w:t>
      </w:r>
    </w:p>
    <w:p w14:paraId="72D4957F">
      <w:pPr>
        <w:ind w:firstLine="420" w:firstLineChars="200"/>
        <w:rPr>
          <w:rFonts w:hint="eastAsia" w:ascii="宋体" w:hAnsi="宋体"/>
          <w:szCs w:val="21"/>
          <w:lang w:eastAsia="zh-CN"/>
        </w:rPr>
      </w:pPr>
      <w:r>
        <w:rPr>
          <w:rFonts w:hint="eastAsia" w:ascii="宋体" w:hAnsi="宋体"/>
          <w:szCs w:val="21"/>
        </w:rPr>
        <w:t>表E.1中的“系统测试”栏提供了技术控制</w:t>
      </w:r>
      <w:r>
        <w:rPr>
          <w:rFonts w:hint="eastAsia" w:ascii="宋体" w:hAnsi="宋体"/>
          <w:szCs w:val="21"/>
          <w:highlight w:val="none"/>
        </w:rPr>
        <w:t>的</w:t>
      </w:r>
      <w:r>
        <w:rPr>
          <w:rFonts w:hint="eastAsia" w:ascii="宋体" w:hAnsi="宋体"/>
          <w:szCs w:val="21"/>
          <w:highlight w:val="none"/>
          <w:lang w:eastAsia="zh-CN"/>
        </w:rPr>
        <w:t>审核</w:t>
      </w:r>
      <w:r>
        <w:rPr>
          <w:rFonts w:hint="eastAsia" w:ascii="宋体" w:hAnsi="宋体"/>
          <w:szCs w:val="21"/>
          <w:lang w:val="en-US" w:eastAsia="zh-CN"/>
        </w:rPr>
        <w:t>指南</w:t>
      </w:r>
      <w:r>
        <w:rPr>
          <w:rFonts w:hint="eastAsia" w:ascii="宋体" w:hAnsi="宋体"/>
          <w:szCs w:val="21"/>
          <w:lang w:eastAsia="zh-CN"/>
        </w:rPr>
        <w:t>：</w:t>
      </w:r>
    </w:p>
    <w:p w14:paraId="7C200E69">
      <w:pPr>
        <w:numPr>
          <w:ilvl w:val="-1"/>
          <w:numId w:val="0"/>
        </w:numPr>
        <w:ind w:left="840" w:leftChars="200" w:hanging="420" w:hangingChars="200"/>
        <w:rPr>
          <w:rFonts w:ascii="宋体" w:hAnsi="宋体"/>
          <w:szCs w:val="21"/>
        </w:rPr>
      </w:pPr>
      <w:r>
        <w:rPr>
          <w:szCs w:val="21"/>
        </w:rPr>
        <w:t>——</w:t>
      </w:r>
      <w:r>
        <w:rPr>
          <w:rFonts w:hint="eastAsia" w:ascii="宋体" w:hAnsi="宋体"/>
          <w:szCs w:val="21"/>
        </w:rPr>
        <w:t>“空白”</w:t>
      </w:r>
      <w:r>
        <w:rPr>
          <w:rFonts w:hint="eastAsia" w:ascii="宋体" w:hAnsi="宋体"/>
          <w:szCs w:val="21"/>
          <w:lang w:eastAsia="zh-CN"/>
        </w:rPr>
        <w:t>：</w:t>
      </w:r>
      <w:r>
        <w:rPr>
          <w:rFonts w:hint="eastAsia" w:ascii="宋体" w:hAnsi="宋体"/>
          <w:szCs w:val="21"/>
        </w:rPr>
        <w:t>是指系统测试在ISMS审核中通常不适用或没有必要</w:t>
      </w:r>
      <w:r>
        <w:rPr>
          <w:rFonts w:hint="eastAsia" w:ascii="宋体" w:hAnsi="宋体"/>
          <w:szCs w:val="21"/>
          <w:lang w:eastAsia="zh-CN"/>
        </w:rPr>
        <w:t>；</w:t>
      </w:r>
    </w:p>
    <w:p w14:paraId="42A2A859">
      <w:pPr>
        <w:numPr>
          <w:ilvl w:val="-1"/>
          <w:numId w:val="0"/>
        </w:numPr>
        <w:ind w:left="840" w:leftChars="200" w:hanging="420" w:hangingChars="200"/>
        <w:jc w:val="left"/>
        <w:rPr>
          <w:rFonts w:ascii="宋体" w:hAnsi="宋体"/>
          <w:szCs w:val="21"/>
        </w:rPr>
      </w:pPr>
      <w:r>
        <w:rPr>
          <w:szCs w:val="21"/>
        </w:rPr>
        <w:t>——</w:t>
      </w:r>
      <w:r>
        <w:rPr>
          <w:rFonts w:hint="eastAsia" w:ascii="宋体" w:hAnsi="宋体"/>
          <w:szCs w:val="21"/>
          <w:lang w:val="en-US" w:eastAsia="zh-CN"/>
        </w:rPr>
        <w:t xml:space="preserve"> </w:t>
      </w:r>
      <w:r>
        <w:rPr>
          <w:rFonts w:hint="eastAsia" w:ascii="宋体" w:hAnsi="宋体"/>
          <w:szCs w:val="21"/>
        </w:rPr>
        <w:t>“可能的”：</w:t>
      </w:r>
      <w:r>
        <w:rPr>
          <w:rFonts w:hint="eastAsia" w:ascii="宋体" w:hAnsi="宋体"/>
          <w:szCs w:val="21"/>
          <w:lang w:val="en-US" w:eastAsia="zh-CN"/>
        </w:rPr>
        <w:t>是指</w:t>
      </w:r>
      <w:r>
        <w:rPr>
          <w:rFonts w:hint="eastAsia" w:ascii="宋体" w:hAnsi="宋体"/>
          <w:szCs w:val="21"/>
        </w:rPr>
        <w:t>系统测试对于评价控制的实现来说是可能的，但在ISMS审核中不一定是必需的</w:t>
      </w:r>
      <w:r>
        <w:rPr>
          <w:rFonts w:hint="eastAsia" w:ascii="宋体" w:hAnsi="宋体"/>
          <w:szCs w:val="21"/>
          <w:lang w:eastAsia="zh-CN"/>
        </w:rPr>
        <w:t>；</w:t>
      </w:r>
    </w:p>
    <w:p w14:paraId="5923916F">
      <w:pPr>
        <w:numPr>
          <w:ilvl w:val="-1"/>
          <w:numId w:val="0"/>
        </w:numPr>
        <w:ind w:left="840" w:leftChars="200" w:hanging="420" w:hangingChars="200"/>
        <w:jc w:val="left"/>
        <w:rPr>
          <w:rFonts w:ascii="宋体" w:hAnsi="宋体"/>
          <w:szCs w:val="21"/>
        </w:rPr>
      </w:pPr>
      <w:r>
        <w:rPr>
          <w:szCs w:val="21"/>
        </w:rPr>
        <w:t>——</w:t>
      </w:r>
      <w:r>
        <w:rPr>
          <w:rFonts w:hint="eastAsia" w:ascii="宋体" w:hAnsi="宋体"/>
          <w:szCs w:val="21"/>
        </w:rPr>
        <w:t>“推荐的”：</w:t>
      </w:r>
      <w:r>
        <w:rPr>
          <w:rFonts w:hint="eastAsia" w:ascii="宋体" w:hAnsi="宋体"/>
          <w:szCs w:val="21"/>
          <w:lang w:val="en-US" w:eastAsia="zh-CN"/>
        </w:rPr>
        <w:t>是指</w:t>
      </w:r>
      <w:r>
        <w:rPr>
          <w:rFonts w:hint="eastAsia" w:ascii="宋体" w:hAnsi="宋体"/>
          <w:szCs w:val="21"/>
        </w:rPr>
        <w:t>在ISMS审核中，系统测试通常是必需的。</w:t>
      </w:r>
    </w:p>
    <w:p w14:paraId="457A52E3">
      <w:pPr>
        <w:pStyle w:val="70"/>
        <w:numPr>
          <w:ilvl w:val="0"/>
          <w:numId w:val="0"/>
        </w:numPr>
        <w:spacing w:before="156" w:after="156"/>
        <w:rPr>
          <w:rFonts w:hAnsi="黑体"/>
          <w:lang w:val="de-DE"/>
        </w:rPr>
      </w:pPr>
      <w:r>
        <w:rPr>
          <w:rFonts w:hint="eastAsia" w:hAnsi="黑体"/>
          <w:lang w:val="de-DE"/>
        </w:rPr>
        <w:t>E</w:t>
      </w:r>
      <w:r>
        <w:rPr>
          <w:rFonts w:hAnsi="黑体"/>
          <w:lang w:val="de-DE"/>
        </w:rPr>
        <w:t>.</w:t>
      </w:r>
      <w:r>
        <w:rPr>
          <w:rFonts w:hint="eastAsia" w:hAnsi="黑体"/>
          <w:lang w:val="de-DE"/>
        </w:rPr>
        <w:t>2</w:t>
      </w:r>
      <w:r>
        <w:rPr>
          <w:rFonts w:hAnsi="黑体"/>
          <w:lang w:val="de-DE"/>
        </w:rPr>
        <w:t>.</w:t>
      </w:r>
      <w:r>
        <w:rPr>
          <w:rFonts w:hint="eastAsia" w:hAnsi="黑体"/>
          <w:lang w:val="de-DE"/>
        </w:rPr>
        <w:t>3　“目视检验”列</w:t>
      </w:r>
    </w:p>
    <w:p w14:paraId="0B34C1C8">
      <w:pPr>
        <w:ind w:firstLine="420" w:firstLineChars="200"/>
        <w:rPr>
          <w:rFonts w:hint="eastAsia" w:ascii="宋体" w:hAnsi="宋体"/>
          <w:szCs w:val="21"/>
        </w:rPr>
      </w:pPr>
      <w:r>
        <w:rPr>
          <w:rFonts w:hint="eastAsia" w:ascii="宋体" w:hAnsi="宋体"/>
          <w:szCs w:val="21"/>
          <w:lang w:val="en-US" w:eastAsia="zh-CN"/>
        </w:rPr>
        <w:t>能</w:t>
      </w:r>
      <w:r>
        <w:rPr>
          <w:rFonts w:hint="eastAsia" w:ascii="宋体" w:hAnsi="宋体"/>
          <w:szCs w:val="21"/>
        </w:rPr>
        <w:t>通过现场“目视检验”</w:t>
      </w:r>
      <w:r>
        <w:rPr>
          <w:rFonts w:hint="eastAsia" w:ascii="宋体" w:hAnsi="宋体"/>
          <w:szCs w:val="21"/>
          <w:highlight w:val="none"/>
          <w:lang w:val="en-US" w:eastAsia="zh-CN"/>
        </w:rPr>
        <w:t>来</w:t>
      </w:r>
      <w:r>
        <w:rPr>
          <w:rFonts w:hint="eastAsia" w:ascii="宋体" w:hAnsi="宋体"/>
          <w:szCs w:val="21"/>
          <w:highlight w:val="none"/>
          <w:lang w:eastAsia="zh-CN"/>
        </w:rPr>
        <w:t>审核</w:t>
      </w:r>
      <w:r>
        <w:rPr>
          <w:rFonts w:hint="eastAsia" w:ascii="宋体" w:hAnsi="宋体"/>
          <w:szCs w:val="21"/>
          <w:highlight w:val="none"/>
        </w:rPr>
        <w:t>GB</w:t>
      </w:r>
      <w:r>
        <w:rPr>
          <w:rFonts w:hint="eastAsia" w:ascii="宋体" w:hAnsi="宋体"/>
          <w:szCs w:val="21"/>
        </w:rPr>
        <w:t>/T 22080—202X附件A中的其他控制的</w:t>
      </w:r>
      <w:r>
        <w:rPr>
          <w:rFonts w:hint="eastAsia" w:ascii="宋体" w:hAnsi="宋体"/>
          <w:szCs w:val="21"/>
          <w:lang w:val="en-US" w:eastAsia="zh-CN"/>
        </w:rPr>
        <w:t>实现</w:t>
      </w:r>
      <w:r>
        <w:rPr>
          <w:rFonts w:hint="eastAsia" w:ascii="宋体" w:hAnsi="宋体"/>
          <w:szCs w:val="21"/>
        </w:rPr>
        <w:t>情况和有效性。通过</w:t>
      </w:r>
      <w:r>
        <w:rPr>
          <w:rFonts w:hint="eastAsia" w:ascii="宋体" w:hAnsi="宋体"/>
          <w:szCs w:val="21"/>
          <w:highlight w:val="none"/>
          <w:lang w:eastAsia="zh-CN"/>
        </w:rPr>
        <w:t>审核</w:t>
      </w:r>
      <w:r>
        <w:rPr>
          <w:rFonts w:hint="eastAsia" w:ascii="宋体" w:hAnsi="宋体"/>
          <w:szCs w:val="21"/>
          <w:highlight w:val="none"/>
        </w:rPr>
        <w:t>相</w:t>
      </w:r>
      <w:r>
        <w:rPr>
          <w:rFonts w:hint="eastAsia" w:ascii="宋体" w:hAnsi="宋体"/>
          <w:szCs w:val="21"/>
        </w:rPr>
        <w:t>应的书面文件或访谈来评价控制的有效性是不够充分的</w:t>
      </w:r>
      <w:r>
        <w:rPr>
          <w:rFonts w:hint="eastAsia" w:ascii="宋体" w:hAnsi="宋体"/>
          <w:szCs w:val="21"/>
          <w:lang w:eastAsia="zh-CN"/>
        </w:rPr>
        <w:t>，</w:t>
      </w:r>
      <w:r>
        <w:rPr>
          <w:rFonts w:hint="eastAsia" w:ascii="宋体" w:hAnsi="宋体"/>
          <w:szCs w:val="21"/>
        </w:rPr>
        <w:t>审核员宜在实现控制的</w:t>
      </w:r>
      <w:r>
        <w:rPr>
          <w:rFonts w:hint="eastAsia" w:ascii="宋体" w:hAnsi="宋体"/>
          <w:szCs w:val="21"/>
          <w:lang w:val="en-US" w:eastAsia="zh-CN"/>
        </w:rPr>
        <w:t>场所</w:t>
      </w:r>
      <w:r>
        <w:rPr>
          <w:rFonts w:hint="eastAsia" w:ascii="宋体" w:hAnsi="宋体"/>
          <w:szCs w:val="21"/>
        </w:rPr>
        <w:t>对控制进行验证。</w:t>
      </w:r>
    </w:p>
    <w:p w14:paraId="7455E717">
      <w:pPr>
        <w:ind w:firstLine="360" w:firstLineChars="200"/>
        <w:rPr>
          <w:rFonts w:ascii="宋体" w:hAnsi="宋体"/>
          <w:sz w:val="18"/>
          <w:szCs w:val="18"/>
        </w:rPr>
      </w:pPr>
      <w:r>
        <w:rPr>
          <w:rFonts w:hint="eastAsia" w:ascii="黑体" w:hAnsi="黑体" w:eastAsia="黑体" w:cs="黑体"/>
          <w:sz w:val="18"/>
          <w:szCs w:val="18"/>
        </w:rPr>
        <w:t>注：</w:t>
      </w:r>
      <w:r>
        <w:rPr>
          <w:rFonts w:hint="eastAsia" w:ascii="宋体" w:hAnsi="宋体"/>
          <w:sz w:val="18"/>
          <w:szCs w:val="18"/>
        </w:rPr>
        <w:t>现场的目视检验也</w:t>
      </w:r>
      <w:r>
        <w:rPr>
          <w:rFonts w:hint="eastAsia" w:ascii="宋体" w:hAnsi="宋体"/>
          <w:sz w:val="18"/>
          <w:szCs w:val="18"/>
          <w:lang w:val="en-US" w:eastAsia="zh-CN"/>
        </w:rPr>
        <w:t>能</w:t>
      </w:r>
      <w:r>
        <w:rPr>
          <w:rFonts w:hint="eastAsia" w:ascii="宋体" w:hAnsi="宋体"/>
          <w:sz w:val="18"/>
          <w:szCs w:val="18"/>
        </w:rPr>
        <w:t>使用远程</w:t>
      </w:r>
      <w:r>
        <w:rPr>
          <w:rFonts w:hint="eastAsia" w:ascii="宋体" w:hAnsi="宋体"/>
          <w:sz w:val="18"/>
          <w:szCs w:val="18"/>
          <w:lang w:val="en-US" w:eastAsia="zh-CN"/>
        </w:rPr>
        <w:t>检验</w:t>
      </w:r>
      <w:r>
        <w:rPr>
          <w:rFonts w:hint="eastAsia" w:ascii="宋体" w:hAnsi="宋体"/>
          <w:sz w:val="18"/>
          <w:szCs w:val="18"/>
        </w:rPr>
        <w:t>技术来实现，例如，现场</w:t>
      </w:r>
      <w:r>
        <w:rPr>
          <w:rFonts w:hint="eastAsia" w:ascii="宋体" w:hAnsi="宋体"/>
          <w:sz w:val="18"/>
          <w:szCs w:val="18"/>
          <w:lang w:val="en-US" w:eastAsia="zh-CN"/>
        </w:rPr>
        <w:t>人员</w:t>
      </w:r>
      <w:r>
        <w:rPr>
          <w:rFonts w:hint="eastAsia" w:ascii="宋体" w:hAnsi="宋体"/>
          <w:sz w:val="18"/>
          <w:szCs w:val="18"/>
        </w:rPr>
        <w:t>向审核员提供实时视频。</w:t>
      </w:r>
    </w:p>
    <w:p w14:paraId="670C70EE">
      <w:pPr>
        <w:ind w:firstLine="420" w:firstLineChars="200"/>
        <w:rPr>
          <w:rFonts w:ascii="宋体" w:hAnsi="宋体"/>
          <w:szCs w:val="21"/>
        </w:rPr>
      </w:pPr>
      <w:r>
        <w:rPr>
          <w:rFonts w:hint="eastAsia" w:ascii="宋体" w:hAnsi="宋体"/>
          <w:szCs w:val="21"/>
        </w:rPr>
        <w:t>表E.1中的“目视检验”栏提供了</w:t>
      </w:r>
      <w:r>
        <w:rPr>
          <w:rFonts w:hint="eastAsia" w:ascii="宋体" w:hAnsi="宋体"/>
          <w:szCs w:val="21"/>
          <w:lang w:val="en-US" w:eastAsia="zh-CN"/>
        </w:rPr>
        <w:t>对</w:t>
      </w:r>
      <w:r>
        <w:rPr>
          <w:rFonts w:hint="eastAsia" w:ascii="宋体" w:hAnsi="宋体"/>
          <w:szCs w:val="21"/>
        </w:rPr>
        <w:t>控制</w:t>
      </w:r>
      <w:r>
        <w:rPr>
          <w:rFonts w:hint="eastAsia" w:ascii="宋体" w:hAnsi="宋体"/>
          <w:szCs w:val="21"/>
          <w:lang w:eastAsia="zh-CN"/>
        </w:rPr>
        <w:t>的</w:t>
      </w:r>
      <w:r>
        <w:rPr>
          <w:rFonts w:hint="eastAsia" w:ascii="宋体" w:hAnsi="宋体"/>
          <w:szCs w:val="21"/>
          <w:lang w:val="en-US" w:eastAsia="zh-CN"/>
        </w:rPr>
        <w:t>实物证据</w:t>
      </w:r>
      <w:r>
        <w:rPr>
          <w:rFonts w:hint="eastAsia" w:ascii="宋体" w:hAnsi="宋体"/>
          <w:szCs w:val="21"/>
        </w:rPr>
        <w:t>的</w:t>
      </w:r>
      <w:r>
        <w:rPr>
          <w:rFonts w:hint="eastAsia" w:ascii="宋体" w:hAnsi="宋体"/>
          <w:szCs w:val="21"/>
          <w:highlight w:val="none"/>
          <w:lang w:val="en-US" w:eastAsia="zh-CN"/>
        </w:rPr>
        <w:t>审核</w:t>
      </w:r>
      <w:r>
        <w:rPr>
          <w:rFonts w:hint="eastAsia" w:ascii="宋体" w:hAnsi="宋体"/>
          <w:szCs w:val="21"/>
          <w:lang w:val="en-US" w:eastAsia="zh-CN"/>
        </w:rPr>
        <w:t>指南</w:t>
      </w:r>
      <w:r>
        <w:rPr>
          <w:rFonts w:hint="eastAsia" w:ascii="宋体" w:hAnsi="宋体"/>
          <w:szCs w:val="21"/>
          <w:lang w:eastAsia="zh-CN"/>
        </w:rPr>
        <w:t>。</w:t>
      </w:r>
    </w:p>
    <w:p w14:paraId="29E5C745">
      <w:pPr>
        <w:numPr>
          <w:ilvl w:val="0"/>
          <w:numId w:val="0"/>
        </w:numPr>
        <w:ind w:left="840" w:leftChars="200" w:hanging="420" w:hangingChars="200"/>
        <w:jc w:val="left"/>
        <w:rPr>
          <w:rFonts w:hint="default" w:ascii="宋体" w:hAnsi="宋体"/>
          <w:szCs w:val="21"/>
        </w:rPr>
      </w:pPr>
      <w:r>
        <w:rPr>
          <w:szCs w:val="21"/>
        </w:rPr>
        <w:t>——</w:t>
      </w:r>
      <w:r>
        <w:rPr>
          <w:rFonts w:hint="default" w:ascii="宋体" w:hAnsi="宋体"/>
          <w:szCs w:val="21"/>
        </w:rPr>
        <w:t>“空白”</w:t>
      </w:r>
      <w:r>
        <w:rPr>
          <w:rFonts w:hint="eastAsia" w:ascii="宋体" w:hAnsi="宋体"/>
          <w:szCs w:val="21"/>
          <w:lang w:eastAsia="zh-CN"/>
        </w:rPr>
        <w:t>：</w:t>
      </w:r>
      <w:r>
        <w:rPr>
          <w:rFonts w:hint="default" w:ascii="宋体" w:hAnsi="宋体"/>
          <w:szCs w:val="21"/>
        </w:rPr>
        <w:t>是指目视检验在ISMS审核中通常不适用或没有必要</w:t>
      </w:r>
      <w:r>
        <w:rPr>
          <w:rFonts w:hint="eastAsia" w:ascii="宋体" w:hAnsi="宋体"/>
          <w:szCs w:val="21"/>
          <w:lang w:eastAsia="zh-CN"/>
        </w:rPr>
        <w:t>；</w:t>
      </w:r>
    </w:p>
    <w:p w14:paraId="3906269E">
      <w:pPr>
        <w:numPr>
          <w:ilvl w:val="0"/>
          <w:numId w:val="0"/>
        </w:numPr>
        <w:ind w:left="840" w:leftChars="200" w:hanging="420" w:hangingChars="200"/>
        <w:jc w:val="left"/>
        <w:rPr>
          <w:rFonts w:hint="default" w:ascii="宋体" w:hAnsi="宋体"/>
          <w:szCs w:val="21"/>
        </w:rPr>
      </w:pPr>
      <w:r>
        <w:rPr>
          <w:szCs w:val="21"/>
        </w:rPr>
        <w:t>——</w:t>
      </w:r>
      <w:r>
        <w:rPr>
          <w:rFonts w:hint="default" w:ascii="宋体" w:hAnsi="宋体"/>
          <w:szCs w:val="21"/>
        </w:rPr>
        <w:t>“可能的”：</w:t>
      </w:r>
      <w:r>
        <w:rPr>
          <w:rFonts w:hint="eastAsia" w:ascii="宋体" w:hAnsi="宋体"/>
          <w:szCs w:val="21"/>
          <w:lang w:val="en-US" w:eastAsia="zh-CN"/>
        </w:rPr>
        <w:t>是指</w:t>
      </w:r>
      <w:r>
        <w:rPr>
          <w:rFonts w:hint="default" w:ascii="宋体" w:hAnsi="宋体"/>
          <w:szCs w:val="21"/>
        </w:rPr>
        <w:t>目视检验对于评价控制的实现来说是可能的，但在ISMS审核中不一定是必需的</w:t>
      </w:r>
      <w:r>
        <w:rPr>
          <w:rFonts w:hint="eastAsia" w:ascii="宋体" w:hAnsi="宋体"/>
          <w:szCs w:val="21"/>
          <w:lang w:eastAsia="zh-CN"/>
        </w:rPr>
        <w:t>；</w:t>
      </w:r>
    </w:p>
    <w:p w14:paraId="71D5CC53">
      <w:pPr>
        <w:numPr>
          <w:ilvl w:val="0"/>
          <w:numId w:val="0"/>
        </w:numPr>
        <w:ind w:left="840" w:leftChars="200" w:hanging="420" w:hangingChars="200"/>
        <w:jc w:val="left"/>
        <w:rPr>
          <w:rFonts w:hint="default" w:ascii="宋体" w:hAnsi="宋体"/>
          <w:szCs w:val="21"/>
        </w:rPr>
      </w:pPr>
      <w:r>
        <w:rPr>
          <w:szCs w:val="21"/>
        </w:rPr>
        <w:t>——</w:t>
      </w:r>
      <w:r>
        <w:rPr>
          <w:rFonts w:hint="default" w:ascii="宋体" w:hAnsi="宋体"/>
          <w:szCs w:val="21"/>
        </w:rPr>
        <w:t>“推荐的”：</w:t>
      </w:r>
      <w:r>
        <w:rPr>
          <w:rFonts w:hint="eastAsia" w:ascii="宋体" w:hAnsi="宋体"/>
          <w:szCs w:val="21"/>
          <w:lang w:val="en-US" w:eastAsia="zh-CN"/>
        </w:rPr>
        <w:t>是指</w:t>
      </w:r>
      <w:r>
        <w:rPr>
          <w:rFonts w:hint="default" w:ascii="宋体" w:hAnsi="宋体"/>
          <w:szCs w:val="21"/>
        </w:rPr>
        <w:t>在ISMS审核中，目视检验通常是必需的。</w:t>
      </w:r>
    </w:p>
    <w:p w14:paraId="73E89E71">
      <w:pPr>
        <w:pStyle w:val="70"/>
        <w:numPr>
          <w:ilvl w:val="0"/>
          <w:numId w:val="0"/>
        </w:numPr>
        <w:spacing w:before="156" w:after="156"/>
        <w:rPr>
          <w:rFonts w:hint="eastAsia" w:ascii="黑体" w:hAnsi="黑体"/>
          <w:szCs w:val="21"/>
          <w:lang w:val="de-DE"/>
        </w:rPr>
      </w:pPr>
      <w:r>
        <w:rPr>
          <w:rFonts w:hint="eastAsia" w:ascii="黑体" w:hAnsi="黑体"/>
          <w:szCs w:val="21"/>
          <w:lang w:val="de-DE"/>
        </w:rPr>
        <w:t>E.2.4</w:t>
      </w:r>
      <w:r>
        <w:rPr>
          <w:rFonts w:hint="eastAsia" w:hAnsi="黑体"/>
          <w:szCs w:val="21"/>
          <w:lang w:val="en-US" w:eastAsia="zh-CN"/>
        </w:rPr>
        <w:t xml:space="preserve">  </w:t>
      </w:r>
      <w:r>
        <w:rPr>
          <w:rFonts w:hint="eastAsia" w:ascii="黑体" w:hAnsi="黑体"/>
          <w:szCs w:val="21"/>
          <w:lang w:val="de-DE"/>
        </w:rPr>
        <w:t>控制设计</w:t>
      </w:r>
      <w:r>
        <w:rPr>
          <w:rFonts w:hint="eastAsia" w:hAnsi="黑体"/>
          <w:szCs w:val="21"/>
          <w:lang w:val="en-US" w:eastAsia="zh-CN"/>
        </w:rPr>
        <w:t>与实现</w:t>
      </w:r>
      <w:r>
        <w:rPr>
          <w:rFonts w:hint="eastAsia" w:ascii="黑体" w:hAnsi="黑体"/>
          <w:szCs w:val="21"/>
          <w:lang w:val="de-DE"/>
        </w:rPr>
        <w:t>的可能证据</w:t>
      </w:r>
    </w:p>
    <w:p w14:paraId="31CE1D82">
      <w:pPr>
        <w:ind w:firstLine="420" w:firstLineChars="200"/>
        <w:rPr>
          <w:rFonts w:ascii="宋体" w:hAnsi="宋体"/>
          <w:szCs w:val="21"/>
        </w:rPr>
      </w:pPr>
      <w:r>
        <w:rPr>
          <w:rFonts w:hint="eastAsia" w:ascii="宋体" w:hAnsi="宋体"/>
          <w:szCs w:val="21"/>
        </w:rPr>
        <w:t>“控制设计</w:t>
      </w:r>
      <w:r>
        <w:rPr>
          <w:rFonts w:hint="eastAsia" w:ascii="宋体" w:hAnsi="宋体"/>
          <w:szCs w:val="21"/>
          <w:lang w:val="en-US" w:eastAsia="zh-CN"/>
        </w:rPr>
        <w:t>与实现</w:t>
      </w:r>
      <w:r>
        <w:rPr>
          <w:rFonts w:hint="eastAsia" w:ascii="宋体" w:hAnsi="宋体"/>
          <w:szCs w:val="21"/>
        </w:rPr>
        <w:t>的可能证据”一</w:t>
      </w:r>
      <w:r>
        <w:rPr>
          <w:rFonts w:hint="eastAsia" w:ascii="宋体" w:hAnsi="宋体"/>
          <w:szCs w:val="21"/>
          <w:lang w:val="en-US" w:eastAsia="zh-CN"/>
        </w:rPr>
        <w:t>列</w:t>
      </w:r>
      <w:r>
        <w:rPr>
          <w:rFonts w:hint="eastAsia" w:ascii="宋体" w:hAnsi="宋体"/>
          <w:szCs w:val="21"/>
        </w:rPr>
        <w:t>为审核员评估是否符合GB/T 22080—202X, 8.3</w:t>
      </w:r>
      <w:r>
        <w:rPr>
          <w:rFonts w:hint="eastAsia" w:ascii="宋体" w:hAnsi="宋体"/>
          <w:szCs w:val="21"/>
          <w:lang w:eastAsia="zh-CN"/>
        </w:rPr>
        <w:t>（</w:t>
      </w:r>
      <w:r>
        <w:rPr>
          <w:rFonts w:hint="eastAsia" w:ascii="宋体" w:hAnsi="宋体"/>
          <w:szCs w:val="21"/>
        </w:rPr>
        <w:t>实施风险</w:t>
      </w:r>
      <w:r>
        <w:rPr>
          <w:rFonts w:hint="eastAsia" w:ascii="宋体" w:hAnsi="宋体"/>
          <w:szCs w:val="21"/>
          <w:lang w:val="en-US" w:eastAsia="zh-CN"/>
        </w:rPr>
        <w:t>处置</w:t>
      </w:r>
      <w:r>
        <w:rPr>
          <w:rFonts w:hint="eastAsia" w:ascii="宋体" w:hAnsi="宋体"/>
          <w:szCs w:val="21"/>
        </w:rPr>
        <w:t>计划的要求，从而</w:t>
      </w:r>
      <w:r>
        <w:rPr>
          <w:rFonts w:hint="eastAsia" w:ascii="宋体" w:hAnsi="宋体"/>
          <w:szCs w:val="21"/>
          <w:lang w:val="en-US" w:eastAsia="zh-CN"/>
        </w:rPr>
        <w:t>实现</w:t>
      </w:r>
      <w:r>
        <w:rPr>
          <w:rFonts w:hint="eastAsia" w:ascii="宋体" w:hAnsi="宋体"/>
          <w:szCs w:val="21"/>
        </w:rPr>
        <w:t>必要的控制</w:t>
      </w:r>
      <w:r>
        <w:rPr>
          <w:rFonts w:hint="eastAsia" w:ascii="宋体" w:hAnsi="宋体"/>
          <w:szCs w:val="21"/>
          <w:lang w:eastAsia="zh-CN"/>
        </w:rPr>
        <w:t>）</w:t>
      </w:r>
      <w:r>
        <w:rPr>
          <w:rFonts w:hint="eastAsia" w:ascii="宋体" w:hAnsi="宋体"/>
          <w:szCs w:val="21"/>
        </w:rPr>
        <w:t>提供了证据</w:t>
      </w:r>
      <w:r>
        <w:rPr>
          <w:rFonts w:hint="eastAsia" w:ascii="宋体" w:hAnsi="宋体"/>
          <w:szCs w:val="21"/>
          <w:lang w:val="en-US" w:eastAsia="zh-CN"/>
        </w:rPr>
        <w:t>方面的指南</w:t>
      </w:r>
      <w:r>
        <w:rPr>
          <w:rFonts w:hint="eastAsia" w:ascii="宋体" w:hAnsi="宋体"/>
          <w:szCs w:val="21"/>
        </w:rPr>
        <w:t>。本</w:t>
      </w:r>
      <w:r>
        <w:rPr>
          <w:rFonts w:hint="eastAsia" w:ascii="宋体" w:hAnsi="宋体"/>
          <w:szCs w:val="21"/>
          <w:lang w:val="en-US" w:eastAsia="zh-CN"/>
        </w:rPr>
        <w:t>列中</w:t>
      </w:r>
      <w:r>
        <w:rPr>
          <w:rFonts w:hint="eastAsia" w:ascii="宋体" w:hAnsi="宋体"/>
          <w:szCs w:val="21"/>
          <w:lang w:eastAsia="zh-CN"/>
        </w:rPr>
        <w:t>的</w:t>
      </w:r>
      <w:r>
        <w:rPr>
          <w:rFonts w:hint="eastAsia" w:ascii="宋体" w:hAnsi="宋体"/>
          <w:szCs w:val="21"/>
          <w:lang w:val="en-US" w:eastAsia="zh-CN"/>
        </w:rPr>
        <w:t>各项内容不是要求</w:t>
      </w:r>
      <w:r>
        <w:rPr>
          <w:rFonts w:hint="eastAsia" w:ascii="宋体" w:hAnsi="宋体"/>
          <w:szCs w:val="21"/>
        </w:rPr>
        <w:t>，也不构成一个</w:t>
      </w:r>
      <w:r>
        <w:rPr>
          <w:rFonts w:hint="eastAsia" w:ascii="宋体" w:hAnsi="宋体"/>
          <w:szCs w:val="21"/>
          <w:lang w:val="en-US" w:eastAsia="zh-CN"/>
        </w:rPr>
        <w:t>完备的</w:t>
      </w:r>
      <w:r>
        <w:rPr>
          <w:rFonts w:hint="eastAsia" w:ascii="宋体" w:hAnsi="宋体"/>
          <w:szCs w:val="21"/>
        </w:rPr>
        <w:t>列表。</w:t>
      </w:r>
      <w:r>
        <w:rPr>
          <w:rFonts w:hint="eastAsia" w:ascii="宋体" w:hAnsi="宋体"/>
          <w:szCs w:val="21"/>
          <w:lang w:val="en-US" w:eastAsia="zh-CN"/>
        </w:rPr>
        <w:t>因为这些内容是</w:t>
      </w:r>
      <w:r>
        <w:rPr>
          <w:rFonts w:hint="eastAsia" w:ascii="宋体" w:hAnsi="宋体"/>
          <w:szCs w:val="21"/>
        </w:rPr>
        <w:t>来自GB/T 22080—202X</w:t>
      </w:r>
      <w:r>
        <w:rPr>
          <w:rFonts w:hint="eastAsia" w:ascii="宋体" w:hAnsi="宋体"/>
          <w:szCs w:val="21"/>
          <w:lang w:val="en-US" w:eastAsia="zh-CN"/>
        </w:rPr>
        <w:t>附录</w:t>
      </w:r>
      <w:r>
        <w:rPr>
          <w:rFonts w:hint="eastAsia" w:ascii="宋体" w:hAnsi="宋体"/>
          <w:szCs w:val="21"/>
        </w:rPr>
        <w:t>A中的控制文本，</w:t>
      </w:r>
      <w:r>
        <w:rPr>
          <w:rFonts w:hint="eastAsia" w:ascii="宋体" w:hAnsi="宋体"/>
          <w:szCs w:val="21"/>
          <w:lang w:val="en-US" w:eastAsia="zh-CN"/>
        </w:rPr>
        <w:t>所以它们</w:t>
      </w:r>
      <w:r>
        <w:rPr>
          <w:rFonts w:hint="eastAsia" w:ascii="宋体" w:hAnsi="宋体"/>
          <w:szCs w:val="21"/>
        </w:rPr>
        <w:t>不一定</w:t>
      </w:r>
      <w:r>
        <w:rPr>
          <w:rFonts w:hint="eastAsia" w:ascii="宋体" w:hAnsi="宋体"/>
          <w:szCs w:val="21"/>
          <w:lang w:val="en-US" w:eastAsia="zh-CN"/>
        </w:rPr>
        <w:t>适用于</w:t>
      </w:r>
      <w:r>
        <w:rPr>
          <w:rFonts w:hint="eastAsia" w:ascii="宋体" w:hAnsi="宋体"/>
          <w:szCs w:val="21"/>
        </w:rPr>
        <w:t>组织相应的必要控制。</w:t>
      </w:r>
      <w:r>
        <w:rPr>
          <w:rFonts w:hint="eastAsia" w:ascii="宋体" w:hAnsi="宋体"/>
          <w:szCs w:val="21"/>
          <w:lang w:val="en-US" w:eastAsia="zh-CN"/>
        </w:rPr>
        <w:t>在这种情况下，宜</w:t>
      </w:r>
      <w:r>
        <w:rPr>
          <w:rFonts w:hint="eastAsia" w:ascii="宋体" w:hAnsi="宋体"/>
          <w:szCs w:val="21"/>
        </w:rPr>
        <w:t>使用其他形式的证据。组织的适用性声明和相关的ISMS文件</w:t>
      </w:r>
      <w:r>
        <w:rPr>
          <w:rFonts w:hint="eastAsia" w:ascii="宋体" w:hAnsi="宋体"/>
          <w:szCs w:val="21"/>
          <w:lang w:val="en-US" w:eastAsia="zh-CN"/>
        </w:rPr>
        <w:t>宜</w:t>
      </w:r>
      <w:r>
        <w:rPr>
          <w:rFonts w:hint="eastAsia" w:ascii="宋体" w:hAnsi="宋体"/>
          <w:szCs w:val="21"/>
        </w:rPr>
        <w:t>作为组织必要控制的规范。组织的适用性声明</w:t>
      </w:r>
      <w:r>
        <w:rPr>
          <w:rFonts w:hint="eastAsia" w:ascii="宋体" w:hAnsi="宋体"/>
          <w:szCs w:val="21"/>
          <w:lang w:eastAsia="zh-CN"/>
        </w:rPr>
        <w:t>宜</w:t>
      </w:r>
      <w:r>
        <w:rPr>
          <w:rFonts w:hint="eastAsia" w:ascii="宋体" w:hAnsi="宋体"/>
          <w:szCs w:val="21"/>
        </w:rPr>
        <w:t>包含必要的控制，选择这些控制的合理性说明</w:t>
      </w:r>
      <w:r>
        <w:rPr>
          <w:rFonts w:hint="eastAsia" w:ascii="宋体" w:hAnsi="宋体"/>
          <w:szCs w:val="21"/>
          <w:lang w:eastAsia="zh-CN"/>
        </w:rPr>
        <w:t>、</w:t>
      </w:r>
      <w:r>
        <w:rPr>
          <w:rFonts w:hint="eastAsia" w:ascii="宋体" w:hAnsi="宋体"/>
          <w:szCs w:val="21"/>
          <w:lang w:val="en-US" w:eastAsia="zh-CN"/>
        </w:rPr>
        <w:t>这些控制</w:t>
      </w:r>
      <w:r>
        <w:rPr>
          <w:rFonts w:hint="eastAsia" w:ascii="宋体" w:hAnsi="宋体"/>
          <w:szCs w:val="21"/>
        </w:rPr>
        <w:t>是否</w:t>
      </w:r>
      <w:r>
        <w:rPr>
          <w:rFonts w:hint="eastAsia" w:ascii="宋体" w:hAnsi="宋体"/>
          <w:szCs w:val="21"/>
          <w:lang w:val="en-US" w:eastAsia="zh-CN"/>
        </w:rPr>
        <w:t>已实现</w:t>
      </w:r>
      <w:r>
        <w:rPr>
          <w:rFonts w:hint="eastAsia" w:ascii="宋体" w:hAnsi="宋体"/>
          <w:szCs w:val="21"/>
        </w:rPr>
        <w:t>，以及删减</w:t>
      </w:r>
      <w:r>
        <w:rPr>
          <w:rFonts w:hint="eastAsia" w:ascii="宋体" w:hAnsi="宋体"/>
          <w:szCs w:val="21"/>
          <w:lang w:val="en-US" w:eastAsia="zh-CN"/>
        </w:rPr>
        <w:t>GB/T 22080-202X</w:t>
      </w:r>
      <w:r>
        <w:rPr>
          <w:rFonts w:hint="eastAsia" w:ascii="宋体" w:hAnsi="宋体"/>
          <w:szCs w:val="21"/>
        </w:rPr>
        <w:t>附录A中</w:t>
      </w:r>
      <w:r>
        <w:rPr>
          <w:rFonts w:hint="eastAsia" w:ascii="宋体" w:hAnsi="宋体"/>
          <w:szCs w:val="21"/>
          <w:lang w:val="en-US" w:eastAsia="zh-CN"/>
        </w:rPr>
        <w:t>任何</w:t>
      </w:r>
      <w:r>
        <w:rPr>
          <w:rFonts w:hint="eastAsia" w:ascii="宋体" w:hAnsi="宋体"/>
          <w:szCs w:val="21"/>
        </w:rPr>
        <w:t>控制的合理性说明。</w:t>
      </w:r>
    </w:p>
    <w:p w14:paraId="6808CFA0">
      <w:pPr>
        <w:spacing w:line="300" w:lineRule="auto"/>
        <w:jc w:val="center"/>
        <w:rPr>
          <w:rFonts w:hint="eastAsia" w:ascii="黑体" w:hAnsi="黑体" w:eastAsia="黑体"/>
          <w:szCs w:val="21"/>
        </w:rPr>
      </w:pPr>
      <w:r>
        <w:rPr>
          <w:rFonts w:hint="eastAsia" w:ascii="黑体" w:hAnsi="黑体" w:eastAsia="黑体"/>
          <w:szCs w:val="21"/>
        </w:rPr>
        <w:t>表E.1 控制的评价</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07"/>
        <w:gridCol w:w="764"/>
        <w:gridCol w:w="5668"/>
      </w:tblGrid>
      <w:tr w14:paraId="72E0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DEB2B9D">
            <w:pPr>
              <w:pStyle w:val="267"/>
              <w:autoSpaceDE w:val="0"/>
              <w:autoSpaceDN w:val="0"/>
              <w:adjustRightInd w:val="0"/>
              <w:spacing w:before="0" w:after="0" w:line="240" w:lineRule="auto"/>
              <w:jc w:val="left"/>
              <w:rPr>
                <w:rFonts w:hint="eastAsia" w:ascii="宋体" w:hAnsi="宋体" w:eastAsia="宋体" w:cs="宋体"/>
                <w:b/>
                <w:szCs w:val="18"/>
                <w:lang w:val="en-US" w:eastAsia="zh-CN"/>
              </w:rPr>
            </w:pPr>
            <w:r>
              <w:rPr>
                <w:rFonts w:hint="eastAsia" w:ascii="宋体" w:hAnsi="宋体" w:eastAsia="宋体" w:cs="宋体"/>
                <w:szCs w:val="18"/>
                <w:lang w:val="en-US" w:eastAsia="zh-CN"/>
              </w:rPr>
              <w:t>GB/T 22080—202X</w:t>
            </w:r>
            <w:r>
              <w:rPr>
                <w:rFonts w:hint="eastAsia" w:ascii="宋体" w:hAnsi="宋体" w:eastAsia="宋体" w:cs="宋体"/>
                <w:bCs/>
                <w:szCs w:val="18"/>
              </w:rPr>
              <w:t>附录A</w:t>
            </w:r>
            <w:r>
              <w:rPr>
                <w:rFonts w:hint="eastAsia" w:ascii="宋体" w:hAnsi="宋体" w:eastAsia="宋体" w:cs="宋体"/>
                <w:bCs/>
                <w:szCs w:val="18"/>
                <w:lang w:val="en-US" w:eastAsia="zh-CN"/>
              </w:rPr>
              <w:t>中</w:t>
            </w:r>
            <w:r>
              <w:rPr>
                <w:rFonts w:hint="eastAsia" w:ascii="宋体" w:hAnsi="宋体" w:eastAsia="宋体" w:cs="宋体"/>
                <w:bCs/>
                <w:szCs w:val="18"/>
              </w:rPr>
              <w:t>的控制</w:t>
            </w:r>
            <w:r>
              <w:rPr>
                <w:rStyle w:val="62"/>
                <w:rFonts w:hint="eastAsia" w:ascii="宋体" w:hAnsi="宋体" w:eastAsia="宋体" w:cs="宋体"/>
                <w:bCs/>
                <w:szCs w:val="18"/>
              </w:rPr>
              <w:footnoteReference w:id="1"/>
            </w:r>
          </w:p>
        </w:tc>
        <w:tc>
          <w:tcPr>
            <w:tcW w:w="807" w:type="dxa"/>
            <w:tcBorders>
              <w:tl2br w:val="nil"/>
              <w:tr2bl w:val="nil"/>
            </w:tcBorders>
            <w:vAlign w:val="top"/>
          </w:tcPr>
          <w:p w14:paraId="5E254F51">
            <w:pPr>
              <w:jc w:val="left"/>
              <w:rPr>
                <w:rFonts w:hint="eastAsia" w:ascii="宋体" w:hAnsi="宋体" w:cs="宋体"/>
                <w:bCs/>
                <w:sz w:val="18"/>
                <w:szCs w:val="18"/>
              </w:rPr>
            </w:pPr>
            <w:r>
              <w:rPr>
                <w:rFonts w:hint="eastAsia" w:ascii="宋体" w:hAnsi="宋体" w:cs="宋体"/>
                <w:bCs/>
                <w:sz w:val="18"/>
                <w:szCs w:val="18"/>
              </w:rPr>
              <w:t>系统</w:t>
            </w:r>
          </w:p>
          <w:p w14:paraId="419926DA">
            <w:pPr>
              <w:jc w:val="left"/>
              <w:rPr>
                <w:rFonts w:hint="eastAsia" w:ascii="宋体" w:hAnsi="宋体" w:eastAsia="宋体" w:cs="宋体"/>
                <w:b/>
                <w:sz w:val="18"/>
                <w:szCs w:val="18"/>
              </w:rPr>
            </w:pPr>
            <w:r>
              <w:rPr>
                <w:rFonts w:hint="eastAsia" w:ascii="宋体" w:hAnsi="宋体" w:cs="宋体"/>
                <w:bCs/>
                <w:sz w:val="18"/>
                <w:szCs w:val="18"/>
              </w:rPr>
              <w:t>测试</w:t>
            </w:r>
          </w:p>
        </w:tc>
        <w:tc>
          <w:tcPr>
            <w:tcW w:w="764" w:type="dxa"/>
            <w:tcBorders>
              <w:tl2br w:val="nil"/>
              <w:tr2bl w:val="nil"/>
            </w:tcBorders>
            <w:vAlign w:val="top"/>
          </w:tcPr>
          <w:p w14:paraId="0F40854C">
            <w:pPr>
              <w:jc w:val="left"/>
              <w:rPr>
                <w:rFonts w:hint="eastAsia" w:ascii="宋体" w:hAnsi="宋体" w:cs="宋体"/>
                <w:bCs/>
                <w:sz w:val="18"/>
                <w:szCs w:val="18"/>
              </w:rPr>
            </w:pPr>
            <w:r>
              <w:rPr>
                <w:rFonts w:hint="eastAsia" w:ascii="宋体" w:hAnsi="宋体" w:cs="宋体"/>
                <w:bCs/>
                <w:sz w:val="18"/>
                <w:szCs w:val="18"/>
              </w:rPr>
              <w:t>目视</w:t>
            </w:r>
          </w:p>
          <w:p w14:paraId="749605E7">
            <w:pPr>
              <w:jc w:val="left"/>
              <w:rPr>
                <w:rFonts w:hint="eastAsia" w:ascii="宋体" w:hAnsi="宋体" w:eastAsia="宋体" w:cs="宋体"/>
                <w:b/>
                <w:sz w:val="18"/>
                <w:szCs w:val="18"/>
              </w:rPr>
            </w:pPr>
            <w:r>
              <w:rPr>
                <w:rFonts w:hint="eastAsia" w:ascii="宋体" w:hAnsi="宋体" w:cs="宋体"/>
                <w:bCs/>
                <w:sz w:val="18"/>
                <w:szCs w:val="18"/>
              </w:rPr>
              <w:t>检验</w:t>
            </w:r>
          </w:p>
        </w:tc>
        <w:tc>
          <w:tcPr>
            <w:tcW w:w="5668" w:type="dxa"/>
            <w:tcBorders>
              <w:tl2br w:val="nil"/>
              <w:tr2bl w:val="nil"/>
            </w:tcBorders>
            <w:vAlign w:val="top"/>
          </w:tcPr>
          <w:p w14:paraId="6F159CD3">
            <w:pPr>
              <w:jc w:val="left"/>
              <w:rPr>
                <w:rFonts w:hint="eastAsia" w:ascii="宋体" w:hAnsi="宋体" w:cs="宋体"/>
                <w:sz w:val="18"/>
                <w:szCs w:val="18"/>
              </w:rPr>
            </w:pPr>
            <w:r>
              <w:rPr>
                <w:rFonts w:hint="eastAsia" w:ascii="宋体" w:hAnsi="宋体" w:cs="宋体"/>
                <w:sz w:val="18"/>
                <w:szCs w:val="18"/>
              </w:rPr>
              <w:t>控制设计</w:t>
            </w:r>
            <w:r>
              <w:rPr>
                <w:rFonts w:hint="eastAsia" w:ascii="宋体" w:hAnsi="宋体" w:cs="宋体"/>
                <w:sz w:val="18"/>
                <w:szCs w:val="18"/>
                <w:lang w:val="en-US" w:eastAsia="zh-CN"/>
              </w:rPr>
              <w:t>与</w:t>
            </w:r>
            <w:r>
              <w:rPr>
                <w:rFonts w:hint="eastAsia" w:ascii="宋体" w:hAnsi="宋体" w:cs="宋体"/>
                <w:sz w:val="18"/>
                <w:szCs w:val="18"/>
              </w:rPr>
              <w:t>实施的可能证据</w:t>
            </w:r>
          </w:p>
          <w:p w14:paraId="5EB16EA1">
            <w:pPr>
              <w:pStyle w:val="267"/>
              <w:autoSpaceDE w:val="0"/>
              <w:autoSpaceDN w:val="0"/>
              <w:adjustRightInd w:val="0"/>
              <w:spacing w:before="0" w:after="0" w:line="240" w:lineRule="auto"/>
              <w:ind w:left="0" w:firstLine="0"/>
              <w:jc w:val="left"/>
              <w:rPr>
                <w:rFonts w:hint="eastAsia" w:ascii="宋体" w:hAnsi="宋体" w:eastAsia="宋体" w:cs="宋体"/>
                <w:b/>
                <w:szCs w:val="18"/>
                <w:lang w:eastAsia="zh-CN"/>
              </w:rPr>
            </w:pPr>
          </w:p>
        </w:tc>
      </w:tr>
      <w:tr w14:paraId="7EF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2D05708">
            <w:pPr>
              <w:pStyle w:val="265"/>
              <w:autoSpaceDE w:val="0"/>
              <w:autoSpaceDN w:val="0"/>
              <w:adjustRightInd w:val="0"/>
              <w:spacing w:before="0" w:after="0" w:line="240" w:lineRule="auto"/>
              <w:rPr>
                <w:rFonts w:hint="eastAsia" w:ascii="宋体" w:hAnsi="宋体" w:eastAsia="宋体" w:cs="宋体"/>
                <w:b/>
                <w:szCs w:val="18"/>
              </w:rPr>
            </w:pPr>
            <w:r>
              <w:rPr>
                <w:rFonts w:hint="eastAsia" w:ascii="宋体" w:hAnsi="宋体" w:eastAsia="宋体" w:cs="宋体"/>
                <w:color w:val="000000"/>
                <w:sz w:val="18"/>
                <w:szCs w:val="18"/>
              </w:rPr>
              <w:t>5 组织控制</w:t>
            </w:r>
          </w:p>
        </w:tc>
        <w:tc>
          <w:tcPr>
            <w:tcW w:w="807" w:type="dxa"/>
            <w:tcBorders>
              <w:tl2br w:val="nil"/>
              <w:tr2bl w:val="nil"/>
            </w:tcBorders>
            <w:vAlign w:val="top"/>
          </w:tcPr>
          <w:p w14:paraId="0AE28A5E">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25D259A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38DC5412">
            <w:pPr>
              <w:pStyle w:val="265"/>
              <w:autoSpaceDE w:val="0"/>
              <w:autoSpaceDN w:val="0"/>
              <w:adjustRightInd w:val="0"/>
              <w:spacing w:before="0" w:after="0" w:line="240" w:lineRule="auto"/>
              <w:ind w:left="0" w:firstLine="0"/>
              <w:rPr>
                <w:rFonts w:hint="eastAsia" w:ascii="宋体" w:hAnsi="宋体" w:eastAsia="宋体" w:cs="宋体"/>
                <w:szCs w:val="18"/>
              </w:rPr>
            </w:pPr>
            <w:r>
              <w:rPr>
                <w:rFonts w:hint="eastAsia" w:ascii="宋体" w:hAnsi="宋体" w:eastAsia="宋体" w:cs="宋体"/>
                <w:szCs w:val="18"/>
              </w:rPr>
              <w:t> </w:t>
            </w:r>
          </w:p>
        </w:tc>
      </w:tr>
      <w:tr w14:paraId="3E2E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3135C7C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5.1 信息安全策略</w:t>
            </w:r>
          </w:p>
        </w:tc>
        <w:tc>
          <w:tcPr>
            <w:tcW w:w="807" w:type="dxa"/>
            <w:tcBorders>
              <w:tl2br w:val="nil"/>
              <w:tr2bl w:val="nil"/>
            </w:tcBorders>
            <w:vAlign w:val="top"/>
          </w:tcPr>
          <w:p w14:paraId="3BECD0BE">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49DD79E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138A24B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信息安全</w:t>
            </w:r>
            <w:r>
              <w:rPr>
                <w:rFonts w:hint="eastAsia" w:cs="Times New Roman"/>
                <w:kern w:val="2"/>
                <w:sz w:val="18"/>
                <w:szCs w:val="18"/>
                <w:lang w:val="en-US" w:eastAsia="zh-CN" w:bidi="ar-SA"/>
              </w:rPr>
              <w:t>方针</w:t>
            </w:r>
          </w:p>
          <w:p w14:paraId="1A58503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组织认为必要的信息安全特定主题策略</w:t>
            </w:r>
          </w:p>
          <w:p w14:paraId="49A567B4">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传达给</w:t>
            </w:r>
            <w:r>
              <w:rPr>
                <w:rFonts w:hint="eastAsia" w:ascii="Times New Roman" w:hAnsi="Times New Roman" w:eastAsia="宋体" w:cs="Times New Roman"/>
                <w:kern w:val="2"/>
                <w:sz w:val="18"/>
                <w:szCs w:val="18"/>
                <w:lang w:val="en-US" w:eastAsia="zh-CN" w:bidi="ar-SA"/>
              </w:rPr>
              <w:t>有关</w:t>
            </w:r>
            <w:r>
              <w:rPr>
                <w:rFonts w:hint="eastAsia" w:cs="Times New Roman"/>
                <w:kern w:val="2"/>
                <w:sz w:val="18"/>
                <w:szCs w:val="18"/>
                <w:lang w:val="en-US" w:eastAsia="zh-CN" w:bidi="ar-SA"/>
              </w:rPr>
              <w:t>工作</w:t>
            </w:r>
            <w:r>
              <w:rPr>
                <w:rFonts w:hint="eastAsia" w:ascii="Times New Roman" w:hAnsi="Times New Roman" w:eastAsia="宋体" w:cs="Times New Roman"/>
                <w:kern w:val="2"/>
                <w:sz w:val="18"/>
                <w:szCs w:val="18"/>
                <w:lang w:val="en-US" w:eastAsia="zh-CN" w:bidi="ar-SA"/>
              </w:rPr>
              <w:t>人员和</w:t>
            </w:r>
            <w:r>
              <w:rPr>
                <w:rFonts w:hint="eastAsia" w:cs="Times New Roman"/>
                <w:kern w:val="2"/>
                <w:sz w:val="18"/>
                <w:szCs w:val="18"/>
                <w:lang w:val="en-US" w:eastAsia="zh-CN" w:bidi="ar-SA"/>
              </w:rPr>
              <w:t>相关方的策略</w:t>
            </w:r>
          </w:p>
        </w:tc>
      </w:tr>
      <w:tr w14:paraId="1A92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BA372D2">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5.2 信息安全角色和责任</w:t>
            </w:r>
          </w:p>
        </w:tc>
        <w:tc>
          <w:tcPr>
            <w:tcW w:w="807" w:type="dxa"/>
            <w:tcBorders>
              <w:tl2br w:val="nil"/>
              <w:tr2bl w:val="nil"/>
            </w:tcBorders>
            <w:vAlign w:val="top"/>
          </w:tcPr>
          <w:p w14:paraId="5268DD7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58A075F9">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7998AE0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为信息安全的实施、运行和管理分配角色和职责</w:t>
            </w:r>
          </w:p>
        </w:tc>
      </w:tr>
      <w:tr w14:paraId="72B4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2144013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5.3 职责分离</w:t>
            </w:r>
          </w:p>
        </w:tc>
        <w:tc>
          <w:tcPr>
            <w:tcW w:w="807" w:type="dxa"/>
            <w:tcBorders>
              <w:tl2br w:val="nil"/>
              <w:tr2bl w:val="nil"/>
            </w:tcBorders>
            <w:vAlign w:val="top"/>
          </w:tcPr>
          <w:p w14:paraId="3C9EB027">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651D755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0D60E75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识别</w:t>
            </w:r>
            <w:r>
              <w:rPr>
                <w:rFonts w:hint="eastAsia" w:ascii="Times New Roman" w:hAnsi="Times New Roman" w:eastAsia="宋体" w:cs="Times New Roman"/>
                <w:kern w:val="2"/>
                <w:sz w:val="18"/>
                <w:szCs w:val="18"/>
                <w:lang w:val="en-US" w:eastAsia="zh-CN" w:bidi="ar-SA"/>
              </w:rPr>
              <w:t>相互冲突的职责或责任</w:t>
            </w:r>
            <w:r>
              <w:rPr>
                <w:rFonts w:hint="eastAsia" w:cs="Times New Roman"/>
                <w:kern w:val="2"/>
                <w:sz w:val="18"/>
                <w:szCs w:val="18"/>
                <w:lang w:val="en-US" w:eastAsia="zh-CN" w:bidi="ar-SA"/>
              </w:rPr>
              <w:t>范围</w:t>
            </w:r>
            <w:r>
              <w:rPr>
                <w:rFonts w:hint="eastAsia" w:ascii="Times New Roman" w:hAnsi="Times New Roman" w:eastAsia="宋体" w:cs="Times New Roman"/>
                <w:kern w:val="2"/>
                <w:sz w:val="18"/>
                <w:szCs w:val="18"/>
                <w:lang w:val="en-US" w:eastAsia="zh-CN" w:bidi="ar-SA"/>
              </w:rPr>
              <w:t>，以及相应的</w:t>
            </w:r>
            <w:r>
              <w:rPr>
                <w:rFonts w:hint="eastAsia" w:cs="Times New Roman"/>
                <w:kern w:val="2"/>
                <w:sz w:val="18"/>
                <w:szCs w:val="18"/>
                <w:lang w:val="en-US" w:eastAsia="zh-CN" w:bidi="ar-SA"/>
              </w:rPr>
              <w:t>分离</w:t>
            </w:r>
            <w:r>
              <w:rPr>
                <w:rFonts w:hint="eastAsia" w:ascii="Times New Roman" w:hAnsi="Times New Roman" w:eastAsia="宋体" w:cs="Times New Roman"/>
                <w:kern w:val="2"/>
                <w:sz w:val="18"/>
                <w:szCs w:val="18"/>
                <w:lang w:val="en-US" w:eastAsia="zh-CN" w:bidi="ar-SA"/>
              </w:rPr>
              <w:t>规则</w:t>
            </w:r>
          </w:p>
        </w:tc>
      </w:tr>
      <w:tr w14:paraId="35BC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7FAB1B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5.4 管理责任</w:t>
            </w:r>
          </w:p>
        </w:tc>
        <w:tc>
          <w:tcPr>
            <w:tcW w:w="807" w:type="dxa"/>
            <w:tcBorders>
              <w:tl2br w:val="nil"/>
              <w:tr2bl w:val="nil"/>
            </w:tcBorders>
            <w:vAlign w:val="top"/>
          </w:tcPr>
          <w:p w14:paraId="0E294B6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7D0A586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203BDCA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对信息安全目标、</w:t>
            </w:r>
            <w:r>
              <w:rPr>
                <w:rFonts w:hint="eastAsia" w:cs="Times New Roman"/>
                <w:kern w:val="2"/>
                <w:sz w:val="18"/>
                <w:szCs w:val="18"/>
                <w:lang w:val="en-US" w:eastAsia="zh-CN" w:bidi="ar-SA"/>
              </w:rPr>
              <w:t>策略</w:t>
            </w:r>
            <w:r>
              <w:rPr>
                <w:rFonts w:hint="eastAsia"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规程</w:t>
            </w:r>
            <w:r>
              <w:rPr>
                <w:rFonts w:hint="eastAsia" w:ascii="Times New Roman" w:hAnsi="Times New Roman" w:eastAsia="宋体" w:cs="Times New Roman"/>
                <w:kern w:val="2"/>
                <w:sz w:val="18"/>
                <w:szCs w:val="18"/>
                <w:lang w:val="en-US" w:eastAsia="zh-CN" w:bidi="ar-SA"/>
              </w:rPr>
              <w:t>等的管理声明和支持</w:t>
            </w:r>
          </w:p>
          <w:p w14:paraId="060BF364">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提及</w:t>
            </w:r>
            <w:r>
              <w:rPr>
                <w:rFonts w:hint="eastAsia" w:cs="Times New Roman"/>
                <w:kern w:val="2"/>
                <w:sz w:val="18"/>
                <w:szCs w:val="18"/>
                <w:lang w:val="en-US" w:eastAsia="zh-CN" w:bidi="ar-SA"/>
              </w:rPr>
              <w:t>工作人员的</w:t>
            </w:r>
            <w:r>
              <w:rPr>
                <w:rFonts w:hint="eastAsia" w:ascii="Times New Roman" w:hAnsi="Times New Roman" w:eastAsia="宋体" w:cs="Times New Roman"/>
                <w:kern w:val="2"/>
                <w:sz w:val="18"/>
                <w:szCs w:val="18"/>
                <w:lang w:val="en-US" w:eastAsia="zh-CN" w:bidi="ar-SA"/>
              </w:rPr>
              <w:t>个人信息安全责任</w:t>
            </w:r>
          </w:p>
        </w:tc>
      </w:tr>
      <w:tr w14:paraId="7212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E84446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5.5 与职能机构的联系</w:t>
            </w:r>
          </w:p>
        </w:tc>
        <w:tc>
          <w:tcPr>
            <w:tcW w:w="807" w:type="dxa"/>
            <w:tcBorders>
              <w:tl2br w:val="nil"/>
              <w:tr2bl w:val="nil"/>
            </w:tcBorders>
            <w:vAlign w:val="top"/>
          </w:tcPr>
          <w:p w14:paraId="368F336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1CB58E9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3B75147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与有关</w:t>
            </w:r>
            <w:r>
              <w:rPr>
                <w:rFonts w:hint="eastAsia" w:cs="Times New Roman"/>
                <w:kern w:val="2"/>
                <w:sz w:val="18"/>
                <w:szCs w:val="18"/>
                <w:lang w:val="en-US" w:eastAsia="zh-CN" w:bidi="ar-SA"/>
              </w:rPr>
              <w:t>职能机构</w:t>
            </w:r>
            <w:r>
              <w:rPr>
                <w:rFonts w:hint="eastAsia" w:ascii="Times New Roman" w:hAnsi="Times New Roman" w:eastAsia="宋体" w:cs="Times New Roman"/>
                <w:kern w:val="2"/>
                <w:sz w:val="18"/>
                <w:szCs w:val="18"/>
                <w:lang w:val="en-US" w:eastAsia="zh-CN" w:bidi="ar-SA"/>
              </w:rPr>
              <w:t>的</w:t>
            </w:r>
            <w:r>
              <w:rPr>
                <w:rFonts w:hint="eastAsia" w:cs="Times New Roman"/>
                <w:kern w:val="2"/>
                <w:sz w:val="18"/>
                <w:szCs w:val="18"/>
                <w:lang w:val="en-US" w:eastAsia="zh-CN" w:bidi="ar-SA"/>
              </w:rPr>
              <w:t>、明确的</w:t>
            </w:r>
            <w:r>
              <w:rPr>
                <w:rFonts w:hint="eastAsia" w:ascii="Times New Roman" w:hAnsi="Times New Roman" w:eastAsia="宋体" w:cs="Times New Roman"/>
                <w:kern w:val="2"/>
                <w:sz w:val="18"/>
                <w:szCs w:val="18"/>
                <w:lang w:val="en-US" w:eastAsia="zh-CN" w:bidi="ar-SA"/>
              </w:rPr>
              <w:t>联系点</w:t>
            </w:r>
          </w:p>
          <w:p w14:paraId="0379C2A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事故报告规则</w:t>
            </w:r>
          </w:p>
          <w:p w14:paraId="6C24504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来往于相关职能部门的信息</w:t>
            </w:r>
          </w:p>
        </w:tc>
      </w:tr>
      <w:tr w14:paraId="299E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049108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5.6 与特定相关方的联系</w:t>
            </w:r>
          </w:p>
        </w:tc>
        <w:tc>
          <w:tcPr>
            <w:tcW w:w="807" w:type="dxa"/>
            <w:tcBorders>
              <w:tl2br w:val="nil"/>
              <w:tr2bl w:val="nil"/>
            </w:tcBorders>
            <w:vAlign w:val="top"/>
          </w:tcPr>
          <w:p w14:paraId="593175A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24D6265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42BCECF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特定相关方</w:t>
            </w:r>
            <w:r>
              <w:rPr>
                <w:rFonts w:hint="eastAsia" w:ascii="Times New Roman" w:hAnsi="Times New Roman" w:eastAsia="宋体" w:cs="Times New Roman"/>
                <w:kern w:val="2"/>
                <w:sz w:val="18"/>
                <w:szCs w:val="18"/>
                <w:lang w:val="en-US" w:eastAsia="zh-CN" w:bidi="ar-SA"/>
              </w:rPr>
              <w:t>或其他论坛和协会的成员资格和</w:t>
            </w:r>
            <w:r>
              <w:rPr>
                <w:rFonts w:hint="eastAsia" w:cs="Times New Roman"/>
                <w:kern w:val="2"/>
                <w:sz w:val="18"/>
                <w:szCs w:val="18"/>
                <w:lang w:val="en-US" w:eastAsia="zh-CN" w:bidi="ar-SA"/>
              </w:rPr>
              <w:t>明确</w:t>
            </w:r>
            <w:r>
              <w:rPr>
                <w:rFonts w:hint="eastAsia" w:ascii="Times New Roman" w:hAnsi="Times New Roman" w:eastAsia="宋体" w:cs="Times New Roman"/>
                <w:kern w:val="2"/>
                <w:sz w:val="18"/>
                <w:szCs w:val="18"/>
                <w:lang w:val="en-US" w:eastAsia="zh-CN" w:bidi="ar-SA"/>
              </w:rPr>
              <w:t>的联络点[例如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计算机应急响应小组</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CERTs</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、网络安全机构]</w:t>
            </w:r>
          </w:p>
          <w:p w14:paraId="288DE3A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关于</w:t>
            </w:r>
            <w:r>
              <w:rPr>
                <w:rFonts w:hint="eastAsia" w:cs="Times New Roman"/>
                <w:kern w:val="2"/>
                <w:sz w:val="18"/>
                <w:szCs w:val="18"/>
                <w:lang w:val="en-US" w:eastAsia="zh-CN" w:bidi="ar-SA"/>
              </w:rPr>
              <w:t>能在这类组织内交流的信息</w:t>
            </w:r>
            <w:r>
              <w:rPr>
                <w:rFonts w:hint="eastAsia" w:ascii="Times New Roman" w:hAnsi="Times New Roman" w:eastAsia="宋体" w:cs="Times New Roman"/>
                <w:kern w:val="2"/>
                <w:sz w:val="18"/>
                <w:szCs w:val="18"/>
                <w:lang w:val="en-US" w:eastAsia="zh-CN" w:bidi="ar-SA"/>
              </w:rPr>
              <w:t>的规则</w:t>
            </w:r>
          </w:p>
          <w:p w14:paraId="76DFC38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default"/>
                <w:sz w:val="18"/>
                <w:szCs w:val="18"/>
              </w:rPr>
              <w:t>来往于</w:t>
            </w:r>
            <w:r>
              <w:rPr>
                <w:rFonts w:hint="eastAsia"/>
                <w:sz w:val="18"/>
                <w:szCs w:val="18"/>
                <w:lang w:val="en-US" w:eastAsia="zh-CN"/>
              </w:rPr>
              <w:t>这类组织</w:t>
            </w:r>
            <w:r>
              <w:rPr>
                <w:rFonts w:hint="default"/>
                <w:sz w:val="18"/>
                <w:szCs w:val="18"/>
              </w:rPr>
              <w:t>的信息</w:t>
            </w:r>
          </w:p>
        </w:tc>
      </w:tr>
      <w:tr w14:paraId="6B50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2B4BFBF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5.7 威胁情报</w:t>
            </w:r>
          </w:p>
        </w:tc>
        <w:tc>
          <w:tcPr>
            <w:tcW w:w="807" w:type="dxa"/>
            <w:tcBorders>
              <w:tl2br w:val="nil"/>
              <w:tr2bl w:val="nil"/>
            </w:tcBorders>
            <w:vAlign w:val="top"/>
          </w:tcPr>
          <w:p w14:paraId="0B633EB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5570E84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4821BC4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收集相关威胁情报的方法</w:t>
            </w:r>
          </w:p>
          <w:p w14:paraId="0D3C35C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分析与组织有关的威胁情报，并将其</w:t>
            </w:r>
            <w:r>
              <w:rPr>
                <w:rFonts w:hint="eastAsia" w:cs="Times New Roman"/>
                <w:kern w:val="2"/>
                <w:sz w:val="18"/>
                <w:szCs w:val="18"/>
                <w:lang w:val="en-US" w:eastAsia="zh-CN" w:bidi="ar-SA"/>
              </w:rPr>
              <w:t>分享给适宜的相关方</w:t>
            </w:r>
          </w:p>
        </w:tc>
      </w:tr>
      <w:tr w14:paraId="473A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C4C9EAA">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5.8 项目管理中的信息安全</w:t>
            </w:r>
          </w:p>
        </w:tc>
        <w:tc>
          <w:tcPr>
            <w:tcW w:w="807" w:type="dxa"/>
            <w:tcBorders>
              <w:tl2br w:val="nil"/>
              <w:tr2bl w:val="nil"/>
            </w:tcBorders>
            <w:vAlign w:val="top"/>
          </w:tcPr>
          <w:p w14:paraId="3FF853FF">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55BE0421">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2D72834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在</w:t>
            </w:r>
            <w:r>
              <w:rPr>
                <w:rFonts w:hint="eastAsia" w:cs="Times New Roman"/>
                <w:kern w:val="2"/>
                <w:sz w:val="18"/>
                <w:szCs w:val="18"/>
                <w:lang w:val="en-US" w:eastAsia="zh-CN" w:bidi="ar-SA"/>
              </w:rPr>
              <w:t>贯穿</w:t>
            </w:r>
            <w:r>
              <w:rPr>
                <w:rFonts w:hint="eastAsia" w:ascii="Times New Roman" w:hAnsi="Times New Roman" w:eastAsia="宋体" w:cs="Times New Roman"/>
                <w:kern w:val="2"/>
                <w:sz w:val="18"/>
                <w:szCs w:val="18"/>
                <w:lang w:val="en-US" w:eastAsia="zh-CN" w:bidi="ar-SA"/>
              </w:rPr>
              <w:t>项目生</w:t>
            </w:r>
            <w:r>
              <w:rPr>
                <w:rFonts w:hint="eastAsia" w:cs="Times New Roman"/>
                <w:kern w:val="2"/>
                <w:sz w:val="18"/>
                <w:szCs w:val="18"/>
                <w:lang w:val="en-US" w:eastAsia="zh-CN" w:bidi="ar-SA"/>
              </w:rPr>
              <w:t>存</w:t>
            </w:r>
            <w:r>
              <w:rPr>
                <w:rFonts w:hint="eastAsia" w:ascii="Times New Roman" w:hAnsi="Times New Roman" w:eastAsia="宋体" w:cs="Times New Roman"/>
                <w:kern w:val="2"/>
                <w:sz w:val="18"/>
                <w:szCs w:val="18"/>
                <w:lang w:val="en-US" w:eastAsia="zh-CN" w:bidi="ar-SA"/>
              </w:rPr>
              <w:t>周期的项目管理中建立信息安全，例如</w:t>
            </w:r>
            <w:r>
              <w:rPr>
                <w:rFonts w:hint="eastAsia" w:cs="Times New Roman"/>
                <w:kern w:val="2"/>
                <w:sz w:val="18"/>
                <w:szCs w:val="18"/>
                <w:lang w:val="en-US" w:eastAsia="zh-CN" w:bidi="ar-SA"/>
              </w:rPr>
              <w:t>，在</w:t>
            </w:r>
            <w:r>
              <w:rPr>
                <w:rFonts w:hint="eastAsia" w:ascii="Times New Roman" w:hAnsi="Times New Roman" w:eastAsia="宋体" w:cs="Times New Roman"/>
                <w:kern w:val="2"/>
                <w:sz w:val="18"/>
                <w:szCs w:val="18"/>
                <w:lang w:val="en-US" w:eastAsia="zh-CN" w:bidi="ar-SA"/>
              </w:rPr>
              <w:t>需求定义、测试</w:t>
            </w:r>
            <w:r>
              <w:rPr>
                <w:rFonts w:hint="eastAsia" w:cs="Times New Roman"/>
                <w:kern w:val="2"/>
                <w:sz w:val="18"/>
                <w:szCs w:val="18"/>
                <w:lang w:val="en-US" w:eastAsia="zh-CN" w:bidi="ar-SA"/>
              </w:rPr>
              <w:t>中</w:t>
            </w:r>
          </w:p>
          <w:p w14:paraId="6E1528F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对于所抽取的项目</w:t>
            </w:r>
            <w:r>
              <w:rPr>
                <w:rFonts w:hint="eastAsia"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所</w:t>
            </w:r>
            <w:r>
              <w:rPr>
                <w:rFonts w:hint="eastAsia" w:ascii="Times New Roman" w:hAnsi="Times New Roman" w:eastAsia="宋体" w:cs="Times New Roman"/>
                <w:kern w:val="2"/>
                <w:sz w:val="18"/>
                <w:szCs w:val="18"/>
                <w:lang w:val="en-US" w:eastAsia="zh-CN" w:bidi="ar-SA"/>
              </w:rPr>
              <w:t>识别</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信息安全风险</w:t>
            </w:r>
            <w:r>
              <w:rPr>
                <w:rFonts w:hint="eastAsia" w:cs="Times New Roman"/>
                <w:kern w:val="2"/>
                <w:sz w:val="18"/>
                <w:szCs w:val="18"/>
                <w:lang w:val="en-US" w:eastAsia="zh-CN" w:bidi="ar-SA"/>
              </w:rPr>
              <w:t>和相应的</w:t>
            </w:r>
            <w:r>
              <w:rPr>
                <w:rFonts w:hint="eastAsia" w:ascii="Times New Roman" w:hAnsi="Times New Roman" w:eastAsia="宋体" w:cs="Times New Roman"/>
                <w:kern w:val="2"/>
                <w:sz w:val="18"/>
                <w:szCs w:val="18"/>
                <w:lang w:val="en-US" w:eastAsia="zh-CN" w:bidi="ar-SA"/>
              </w:rPr>
              <w:t>风险</w:t>
            </w:r>
            <w:r>
              <w:rPr>
                <w:rFonts w:hint="eastAsia" w:cs="Times New Roman"/>
                <w:kern w:val="2"/>
                <w:sz w:val="18"/>
                <w:szCs w:val="18"/>
                <w:lang w:val="en-US" w:eastAsia="zh-CN" w:bidi="ar-SA"/>
              </w:rPr>
              <w:t>处置</w:t>
            </w:r>
          </w:p>
        </w:tc>
      </w:tr>
      <w:tr w14:paraId="338A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E42BCE3">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5.9 信息及其他相关资产的清单</w:t>
            </w:r>
          </w:p>
        </w:tc>
        <w:tc>
          <w:tcPr>
            <w:tcW w:w="807" w:type="dxa"/>
            <w:tcBorders>
              <w:tl2br w:val="nil"/>
              <w:tr2bl w:val="nil"/>
            </w:tcBorders>
            <w:vAlign w:val="top"/>
          </w:tcPr>
          <w:p w14:paraId="64397022">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0092D37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10BFE30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由ISMS维护的信息和其他相关资产的清单</w:t>
            </w:r>
          </w:p>
          <w:p w14:paraId="0A3CC53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维护资产清单中资产的所有权</w:t>
            </w:r>
          </w:p>
          <w:p w14:paraId="5732C79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资产所有</w:t>
            </w:r>
            <w:r>
              <w:rPr>
                <w:rFonts w:hint="eastAsia" w:cs="Times New Roman"/>
                <w:kern w:val="2"/>
                <w:sz w:val="18"/>
                <w:szCs w:val="18"/>
                <w:lang w:val="en-US" w:eastAsia="zh-CN" w:bidi="ar-SA"/>
              </w:rPr>
              <w:t>者</w:t>
            </w:r>
            <w:r>
              <w:rPr>
                <w:rFonts w:hint="eastAsia" w:ascii="Times New Roman" w:hAnsi="Times New Roman" w:eastAsia="宋体" w:cs="Times New Roman"/>
                <w:kern w:val="2"/>
                <w:sz w:val="18"/>
                <w:szCs w:val="18"/>
                <w:lang w:val="en-US" w:eastAsia="zh-CN" w:bidi="ar-SA"/>
              </w:rPr>
              <w:t>责任的规则，如</w:t>
            </w:r>
            <w:r>
              <w:rPr>
                <w:rFonts w:hint="eastAsia" w:cs="Times New Roman"/>
                <w:kern w:val="2"/>
                <w:sz w:val="18"/>
                <w:szCs w:val="18"/>
                <w:lang w:val="en-US" w:eastAsia="zh-CN" w:bidi="ar-SA"/>
              </w:rPr>
              <w:t>分级</w:t>
            </w:r>
          </w:p>
        </w:tc>
      </w:tr>
      <w:tr w14:paraId="27A9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595090A">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5.1</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lang w:eastAsia="zh-CN"/>
              </w:rPr>
              <w:t xml:space="preserve"> 信息及其他相关资产的可接受使用</w:t>
            </w:r>
          </w:p>
        </w:tc>
        <w:tc>
          <w:tcPr>
            <w:tcW w:w="807" w:type="dxa"/>
            <w:tcBorders>
              <w:tl2br w:val="nil"/>
              <w:tr2bl w:val="nil"/>
            </w:tcBorders>
            <w:vAlign w:val="top"/>
          </w:tcPr>
          <w:p w14:paraId="21EC4919">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13B112C0">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4DF3954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信息和其他相关资产可接受使用的</w:t>
            </w:r>
            <w:r>
              <w:rPr>
                <w:rFonts w:hint="eastAsia" w:cs="Times New Roman"/>
                <w:kern w:val="2"/>
                <w:sz w:val="18"/>
                <w:szCs w:val="18"/>
                <w:lang w:val="en-US" w:eastAsia="zh-CN" w:bidi="ar-SA"/>
              </w:rPr>
              <w:t>文件化</w:t>
            </w:r>
            <w:r>
              <w:rPr>
                <w:rFonts w:hint="eastAsia" w:ascii="Times New Roman" w:hAnsi="Times New Roman" w:eastAsia="宋体" w:cs="Times New Roman"/>
                <w:kern w:val="2"/>
                <w:sz w:val="18"/>
                <w:szCs w:val="18"/>
                <w:lang w:val="en-US" w:eastAsia="zh-CN" w:bidi="ar-SA"/>
              </w:rPr>
              <w:t>规则</w:t>
            </w:r>
          </w:p>
          <w:p w14:paraId="0C9E964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处理信息和其他相关资产的</w:t>
            </w:r>
            <w:r>
              <w:rPr>
                <w:rFonts w:hint="eastAsia" w:cs="Times New Roman"/>
                <w:kern w:val="2"/>
                <w:sz w:val="18"/>
                <w:szCs w:val="18"/>
                <w:lang w:val="en-US" w:eastAsia="zh-CN" w:bidi="ar-SA"/>
              </w:rPr>
              <w:t>规程</w:t>
            </w:r>
          </w:p>
        </w:tc>
      </w:tr>
      <w:tr w14:paraId="11EE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8F893F9">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5.11 资产归还</w:t>
            </w:r>
          </w:p>
        </w:tc>
        <w:tc>
          <w:tcPr>
            <w:tcW w:w="807" w:type="dxa"/>
            <w:tcBorders>
              <w:tl2br w:val="nil"/>
              <w:tr2bl w:val="nil"/>
            </w:tcBorders>
            <w:vAlign w:val="top"/>
          </w:tcPr>
          <w:p w14:paraId="4D0A43D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4F2F70F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19471A4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组织资产</w:t>
            </w:r>
            <w:r>
              <w:rPr>
                <w:rFonts w:hint="eastAsia" w:cs="Times New Roman"/>
                <w:kern w:val="2"/>
                <w:sz w:val="18"/>
                <w:szCs w:val="18"/>
                <w:lang w:val="en-US" w:eastAsia="zh-CN" w:bidi="ar-SA"/>
              </w:rPr>
              <w:t>的归还</w:t>
            </w:r>
            <w:r>
              <w:rPr>
                <w:rFonts w:hint="eastAsia" w:ascii="Times New Roman" w:hAnsi="Times New Roman" w:eastAsia="宋体" w:cs="Times New Roman"/>
                <w:kern w:val="2"/>
                <w:sz w:val="18"/>
                <w:szCs w:val="18"/>
                <w:lang w:val="en-US" w:eastAsia="zh-CN" w:bidi="ar-SA"/>
              </w:rPr>
              <w:t>规则，如</w:t>
            </w:r>
            <w:r>
              <w:rPr>
                <w:rFonts w:hint="eastAsia" w:cs="Times New Roman"/>
                <w:kern w:val="2"/>
                <w:sz w:val="18"/>
                <w:szCs w:val="18"/>
                <w:lang w:val="en-US" w:eastAsia="zh-CN" w:bidi="ar-SA"/>
              </w:rPr>
              <w:t>发生</w:t>
            </w:r>
            <w:r>
              <w:rPr>
                <w:rFonts w:hint="eastAsia" w:ascii="Times New Roman" w:hAnsi="Times New Roman" w:eastAsia="宋体" w:cs="Times New Roman"/>
                <w:kern w:val="2"/>
                <w:sz w:val="18"/>
                <w:szCs w:val="18"/>
                <w:lang w:val="en-US" w:eastAsia="zh-CN" w:bidi="ar-SA"/>
              </w:rPr>
              <w:t>变更</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或终止</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雇佣、合同或协议</w:t>
            </w:r>
            <w:r>
              <w:rPr>
                <w:rFonts w:hint="eastAsia" w:cs="Times New Roman"/>
                <w:kern w:val="2"/>
                <w:sz w:val="18"/>
                <w:szCs w:val="18"/>
                <w:lang w:val="en-US" w:eastAsia="zh-CN" w:bidi="ar-SA"/>
              </w:rPr>
              <w:t>时</w:t>
            </w:r>
            <w:r>
              <w:rPr>
                <w:rFonts w:hint="eastAsia" w:ascii="Times New Roman" w:hAnsi="Times New Roman" w:eastAsia="宋体" w:cs="Times New Roman"/>
                <w:kern w:val="2"/>
                <w:sz w:val="18"/>
                <w:szCs w:val="18"/>
                <w:lang w:val="en-US" w:eastAsia="zh-CN" w:bidi="ar-SA"/>
              </w:rPr>
              <w:t>的</w:t>
            </w:r>
            <w:r>
              <w:rPr>
                <w:rFonts w:hint="eastAsia" w:cs="Times New Roman"/>
                <w:kern w:val="2"/>
                <w:sz w:val="18"/>
                <w:szCs w:val="18"/>
                <w:lang w:val="en-US" w:eastAsia="zh-CN" w:bidi="ar-SA"/>
              </w:rPr>
              <w:t>检查清单</w:t>
            </w:r>
          </w:p>
          <w:p w14:paraId="039D6BB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文件化</w:t>
            </w:r>
            <w:r>
              <w:rPr>
                <w:rFonts w:hint="eastAsia" w:cs="Times New Roman"/>
                <w:kern w:val="2"/>
                <w:sz w:val="18"/>
                <w:szCs w:val="18"/>
                <w:lang w:val="en-US" w:eastAsia="zh-CN" w:bidi="ar-SA"/>
              </w:rPr>
              <w:t>资产归还记录的样本</w:t>
            </w:r>
          </w:p>
        </w:tc>
      </w:tr>
      <w:tr w14:paraId="215C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403AB589">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5.12 信息分级</w:t>
            </w:r>
          </w:p>
        </w:tc>
        <w:tc>
          <w:tcPr>
            <w:tcW w:w="807" w:type="dxa"/>
            <w:tcBorders>
              <w:tl2br w:val="nil"/>
              <w:tr2bl w:val="nil"/>
            </w:tcBorders>
            <w:vAlign w:val="top"/>
          </w:tcPr>
          <w:p w14:paraId="70E67BE1">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62DCA951">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0FA1F3E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w:t>
            </w:r>
            <w:r>
              <w:rPr>
                <w:rFonts w:hint="eastAsia" w:cs="Times New Roman"/>
                <w:kern w:val="2"/>
                <w:sz w:val="18"/>
                <w:szCs w:val="18"/>
                <w:lang w:val="en-US" w:eastAsia="zh-CN" w:bidi="ar-SA"/>
              </w:rPr>
              <w:t>分级</w:t>
            </w:r>
            <w:r>
              <w:rPr>
                <w:rFonts w:hint="eastAsia" w:ascii="Times New Roman" w:hAnsi="Times New Roman" w:eastAsia="宋体" w:cs="Times New Roman"/>
                <w:kern w:val="2"/>
                <w:sz w:val="18"/>
                <w:szCs w:val="18"/>
                <w:lang w:val="en-US" w:eastAsia="zh-CN" w:bidi="ar-SA"/>
              </w:rPr>
              <w:t>规则和方案，例如</w:t>
            </w:r>
            <w:r>
              <w:rPr>
                <w:rFonts w:hint="eastAsia" w:cs="Times New Roman"/>
                <w:kern w:val="2"/>
                <w:sz w:val="18"/>
                <w:szCs w:val="18"/>
                <w:lang w:val="en-US" w:eastAsia="zh-CN" w:bidi="ar-SA"/>
              </w:rPr>
              <w:t>，在</w:t>
            </w:r>
            <w:r>
              <w:rPr>
                <w:rFonts w:hint="eastAsia" w:ascii="Times New Roman" w:hAnsi="Times New Roman" w:eastAsia="宋体" w:cs="Times New Roman"/>
                <w:kern w:val="2"/>
                <w:sz w:val="18"/>
                <w:szCs w:val="18"/>
                <w:lang w:val="en-US" w:eastAsia="zh-CN" w:bidi="ar-SA"/>
              </w:rPr>
              <w:t>特定主题策略</w:t>
            </w:r>
            <w:r>
              <w:rPr>
                <w:rFonts w:hint="eastAsia" w:cs="Times New Roman"/>
                <w:kern w:val="2"/>
                <w:sz w:val="18"/>
                <w:szCs w:val="18"/>
                <w:lang w:val="en-US" w:eastAsia="zh-CN" w:bidi="ar-SA"/>
              </w:rPr>
              <w:t>中</w:t>
            </w:r>
          </w:p>
          <w:p w14:paraId="6008986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不同来源的</w:t>
            </w:r>
            <w:r>
              <w:rPr>
                <w:rFonts w:hint="eastAsia" w:cs="Times New Roman"/>
                <w:kern w:val="2"/>
                <w:sz w:val="18"/>
                <w:szCs w:val="18"/>
                <w:lang w:val="en-US" w:eastAsia="zh-CN" w:bidi="ar-SA"/>
              </w:rPr>
              <w:t>、宜分级的</w:t>
            </w:r>
            <w:r>
              <w:rPr>
                <w:rFonts w:hint="eastAsia" w:ascii="Times New Roman" w:hAnsi="Times New Roman" w:eastAsia="宋体" w:cs="Times New Roman"/>
                <w:kern w:val="2"/>
                <w:sz w:val="18"/>
                <w:szCs w:val="18"/>
                <w:lang w:val="en-US" w:eastAsia="zh-CN" w:bidi="ar-SA"/>
              </w:rPr>
              <w:t>信息样本</w:t>
            </w:r>
          </w:p>
        </w:tc>
      </w:tr>
      <w:tr w14:paraId="6099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208663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5.13 信息标记</w:t>
            </w:r>
          </w:p>
        </w:tc>
        <w:tc>
          <w:tcPr>
            <w:tcW w:w="807" w:type="dxa"/>
            <w:tcBorders>
              <w:tl2br w:val="nil"/>
              <w:tr2bl w:val="nil"/>
            </w:tcBorders>
            <w:vAlign w:val="top"/>
          </w:tcPr>
          <w:p w14:paraId="7EA1B6B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3408631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5668" w:type="dxa"/>
            <w:tcBorders>
              <w:tl2br w:val="nil"/>
              <w:tr2bl w:val="nil"/>
            </w:tcBorders>
            <w:vAlign w:val="top"/>
          </w:tcPr>
          <w:p w14:paraId="0856503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信息和其他相关资产</w:t>
            </w:r>
            <w:r>
              <w:rPr>
                <w:rFonts w:hint="eastAsia" w:cs="Times New Roman"/>
                <w:kern w:val="2"/>
                <w:sz w:val="18"/>
                <w:szCs w:val="18"/>
                <w:lang w:val="en-US" w:eastAsia="zh-CN" w:bidi="ar-SA"/>
              </w:rPr>
              <w:t>的标记</w:t>
            </w:r>
            <w:r>
              <w:rPr>
                <w:rFonts w:hint="eastAsia" w:ascii="Times New Roman" w:hAnsi="Times New Roman" w:eastAsia="宋体" w:cs="Times New Roman"/>
                <w:kern w:val="2"/>
                <w:sz w:val="18"/>
                <w:szCs w:val="18"/>
                <w:lang w:val="en-US" w:eastAsia="zh-CN" w:bidi="ar-SA"/>
              </w:rPr>
              <w:t>规则</w:t>
            </w:r>
          </w:p>
          <w:p w14:paraId="403B4E9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特定类型信息和其他相关资产的</w:t>
            </w:r>
            <w:r>
              <w:rPr>
                <w:rFonts w:hint="eastAsia" w:cs="Times New Roman"/>
                <w:kern w:val="2"/>
                <w:sz w:val="18"/>
                <w:szCs w:val="18"/>
                <w:lang w:val="en-US" w:eastAsia="zh-CN" w:bidi="ar-SA"/>
              </w:rPr>
              <w:t>标记规程</w:t>
            </w:r>
          </w:p>
        </w:tc>
      </w:tr>
      <w:tr w14:paraId="081A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E5AD0D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5.14 信息传输</w:t>
            </w:r>
          </w:p>
        </w:tc>
        <w:tc>
          <w:tcPr>
            <w:tcW w:w="807" w:type="dxa"/>
            <w:tcBorders>
              <w:tl2br w:val="nil"/>
              <w:tr2bl w:val="nil"/>
            </w:tcBorders>
            <w:vAlign w:val="top"/>
          </w:tcPr>
          <w:p w14:paraId="27EA437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2806BF5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3BABA45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w:t>
            </w:r>
            <w:r>
              <w:rPr>
                <w:rFonts w:hint="eastAsia" w:cs="Times New Roman"/>
                <w:kern w:val="2"/>
                <w:sz w:val="18"/>
                <w:szCs w:val="18"/>
                <w:lang w:val="en-US" w:eastAsia="zh-CN" w:bidi="ar-SA"/>
              </w:rPr>
              <w:t>传输</w:t>
            </w:r>
            <w:r>
              <w:rPr>
                <w:rFonts w:hint="eastAsia" w:ascii="Times New Roman" w:hAnsi="Times New Roman" w:eastAsia="宋体" w:cs="Times New Roman"/>
                <w:kern w:val="2"/>
                <w:sz w:val="18"/>
                <w:szCs w:val="18"/>
                <w:lang w:val="en-US" w:eastAsia="zh-CN" w:bidi="ar-SA"/>
              </w:rPr>
              <w:t>规则，例如在特定主题策略中</w:t>
            </w:r>
          </w:p>
          <w:p w14:paraId="77EEB58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在ISMS</w:t>
            </w:r>
            <w:r>
              <w:rPr>
                <w:rFonts w:hint="eastAsia" w:cs="Times New Roman"/>
                <w:kern w:val="2"/>
                <w:sz w:val="18"/>
                <w:szCs w:val="18"/>
                <w:lang w:val="en-US" w:eastAsia="zh-CN" w:bidi="ar-SA"/>
              </w:rPr>
              <w:t>所</w:t>
            </w:r>
            <w:r>
              <w:rPr>
                <w:rFonts w:hint="eastAsia" w:ascii="Times New Roman" w:hAnsi="Times New Roman" w:eastAsia="宋体" w:cs="Times New Roman"/>
                <w:kern w:val="2"/>
                <w:sz w:val="18"/>
                <w:szCs w:val="18"/>
                <w:lang w:val="en-US" w:eastAsia="zh-CN" w:bidi="ar-SA"/>
              </w:rPr>
              <w:t>识别</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信息</w:t>
            </w:r>
            <w:r>
              <w:rPr>
                <w:rFonts w:hint="eastAsia" w:cs="Times New Roman"/>
                <w:kern w:val="2"/>
                <w:sz w:val="18"/>
                <w:szCs w:val="18"/>
                <w:lang w:val="en-US" w:eastAsia="zh-CN" w:bidi="ar-SA"/>
              </w:rPr>
              <w:t>传输</w:t>
            </w:r>
            <w:r>
              <w:rPr>
                <w:rFonts w:hint="eastAsia" w:ascii="Times New Roman" w:hAnsi="Times New Roman" w:eastAsia="宋体" w:cs="Times New Roman"/>
                <w:kern w:val="2"/>
                <w:sz w:val="18"/>
                <w:szCs w:val="18"/>
                <w:lang w:val="en-US" w:eastAsia="zh-CN" w:bidi="ar-SA"/>
              </w:rPr>
              <w:t>用例</w:t>
            </w:r>
            <w:r>
              <w:rPr>
                <w:rFonts w:hint="eastAsia" w:cs="Times New Roman"/>
                <w:kern w:val="2"/>
                <w:sz w:val="18"/>
                <w:szCs w:val="18"/>
                <w:lang w:val="en-US" w:eastAsia="zh-CN" w:bidi="ar-SA"/>
              </w:rPr>
              <w:t>以及</w:t>
            </w:r>
            <w:r>
              <w:rPr>
                <w:rFonts w:hint="eastAsia" w:ascii="Times New Roman" w:hAnsi="Times New Roman" w:eastAsia="宋体" w:cs="Times New Roman"/>
                <w:kern w:val="2"/>
                <w:sz w:val="18"/>
                <w:szCs w:val="18"/>
                <w:lang w:val="en-US" w:eastAsia="zh-CN" w:bidi="ar-SA"/>
              </w:rPr>
              <w:t>相应</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规则、</w:t>
            </w:r>
            <w:r>
              <w:rPr>
                <w:rFonts w:hint="eastAsia" w:cs="Times New Roman"/>
                <w:kern w:val="2"/>
                <w:sz w:val="18"/>
                <w:szCs w:val="18"/>
                <w:lang w:val="en-US" w:eastAsia="zh-CN" w:bidi="ar-SA"/>
              </w:rPr>
              <w:t>规程</w:t>
            </w:r>
            <w:r>
              <w:rPr>
                <w:rFonts w:hint="eastAsia" w:ascii="Times New Roman" w:hAnsi="Times New Roman" w:eastAsia="宋体" w:cs="Times New Roman"/>
                <w:kern w:val="2"/>
                <w:sz w:val="18"/>
                <w:szCs w:val="18"/>
                <w:lang w:val="en-US" w:eastAsia="zh-CN" w:bidi="ar-SA"/>
              </w:rPr>
              <w:t>或协议，包括物理</w:t>
            </w:r>
            <w:r>
              <w:rPr>
                <w:rFonts w:hint="eastAsia" w:cs="Times New Roman"/>
                <w:kern w:val="2"/>
                <w:sz w:val="18"/>
                <w:szCs w:val="18"/>
                <w:lang w:val="en-US" w:eastAsia="zh-CN" w:bidi="ar-SA"/>
              </w:rPr>
              <w:t>传输</w:t>
            </w:r>
            <w:r>
              <w:rPr>
                <w:rFonts w:hint="eastAsia" w:ascii="Times New Roman" w:hAnsi="Times New Roman" w:eastAsia="宋体" w:cs="Times New Roman"/>
                <w:kern w:val="2"/>
                <w:sz w:val="18"/>
                <w:szCs w:val="18"/>
                <w:lang w:val="en-US" w:eastAsia="zh-CN" w:bidi="ar-SA"/>
              </w:rPr>
              <w:t>、电子</w:t>
            </w:r>
            <w:r>
              <w:rPr>
                <w:rFonts w:hint="eastAsia" w:cs="Times New Roman"/>
                <w:kern w:val="2"/>
                <w:sz w:val="18"/>
                <w:szCs w:val="18"/>
                <w:lang w:val="en-US" w:eastAsia="zh-CN" w:bidi="ar-SA"/>
              </w:rPr>
              <w:t>传输</w:t>
            </w:r>
            <w:r>
              <w:rPr>
                <w:rFonts w:hint="eastAsia" w:ascii="Times New Roman" w:hAnsi="Times New Roman" w:eastAsia="宋体" w:cs="Times New Roman"/>
                <w:kern w:val="2"/>
                <w:sz w:val="18"/>
                <w:szCs w:val="18"/>
                <w:lang w:val="en-US" w:eastAsia="zh-CN" w:bidi="ar-SA"/>
              </w:rPr>
              <w:t>或口头传递</w:t>
            </w:r>
          </w:p>
          <w:p w14:paraId="2FE810D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所实施的</w:t>
            </w:r>
            <w:r>
              <w:rPr>
                <w:rFonts w:hint="eastAsia" w:ascii="Times New Roman" w:hAnsi="Times New Roman" w:eastAsia="宋体" w:cs="Times New Roman"/>
                <w:kern w:val="2"/>
                <w:sz w:val="18"/>
                <w:szCs w:val="18"/>
                <w:lang w:val="en-US" w:eastAsia="zh-CN" w:bidi="ar-SA"/>
              </w:rPr>
              <w:t>信息</w:t>
            </w:r>
            <w:r>
              <w:rPr>
                <w:rFonts w:hint="eastAsia" w:cs="Times New Roman"/>
                <w:kern w:val="2"/>
                <w:sz w:val="18"/>
                <w:szCs w:val="18"/>
                <w:lang w:val="en-US" w:eastAsia="zh-CN" w:bidi="ar-SA"/>
              </w:rPr>
              <w:t>传输规程</w:t>
            </w:r>
            <w:r>
              <w:rPr>
                <w:rFonts w:hint="eastAsia" w:ascii="Times New Roman" w:hAnsi="Times New Roman" w:eastAsia="宋体" w:cs="Times New Roman"/>
                <w:kern w:val="2"/>
                <w:sz w:val="18"/>
                <w:szCs w:val="18"/>
                <w:lang w:val="en-US" w:eastAsia="zh-CN" w:bidi="ar-SA"/>
              </w:rPr>
              <w:t>或协议</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样本</w:t>
            </w:r>
          </w:p>
        </w:tc>
      </w:tr>
      <w:tr w14:paraId="7CE7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6E6B4C9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5.15 访问控制</w:t>
            </w:r>
          </w:p>
        </w:tc>
        <w:tc>
          <w:tcPr>
            <w:tcW w:w="807" w:type="dxa"/>
            <w:tcBorders>
              <w:tl2br w:val="nil"/>
              <w:tr2bl w:val="nil"/>
            </w:tcBorders>
            <w:vAlign w:val="top"/>
          </w:tcPr>
          <w:p w14:paraId="1E3177A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6A227AD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1E38EEF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控制</w:t>
            </w:r>
            <w:r>
              <w:rPr>
                <w:rFonts w:hint="eastAsia" w:cs="Times New Roman"/>
                <w:kern w:val="2"/>
                <w:sz w:val="18"/>
                <w:szCs w:val="18"/>
                <w:lang w:val="en-US" w:eastAsia="zh-CN" w:bidi="ar-SA"/>
              </w:rPr>
              <w:t>对</w:t>
            </w:r>
            <w:r>
              <w:rPr>
                <w:rFonts w:hint="eastAsia" w:ascii="Times New Roman" w:hAnsi="Times New Roman" w:eastAsia="宋体" w:cs="Times New Roman"/>
                <w:kern w:val="2"/>
                <w:sz w:val="18"/>
                <w:szCs w:val="18"/>
                <w:lang w:val="en-US" w:eastAsia="zh-CN" w:bidi="ar-SA"/>
              </w:rPr>
              <w:t>信息和其他相关资产</w:t>
            </w:r>
            <w:r>
              <w:rPr>
                <w:rFonts w:hint="eastAsia" w:cs="Times New Roman"/>
                <w:kern w:val="2"/>
                <w:sz w:val="18"/>
                <w:szCs w:val="18"/>
                <w:lang w:val="en-US" w:eastAsia="zh-CN" w:bidi="ar-SA"/>
              </w:rPr>
              <w:t>进行</w:t>
            </w:r>
            <w:r>
              <w:rPr>
                <w:rFonts w:hint="eastAsia" w:ascii="Times New Roman" w:hAnsi="Times New Roman" w:eastAsia="宋体" w:cs="Times New Roman"/>
                <w:kern w:val="2"/>
                <w:sz w:val="18"/>
                <w:szCs w:val="18"/>
                <w:lang w:val="en-US" w:eastAsia="zh-CN" w:bidi="ar-SA"/>
              </w:rPr>
              <w:t>物理和逻辑访问的规则，例如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在访问控制</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特定主题策略中</w:t>
            </w:r>
          </w:p>
          <w:p w14:paraId="3B36D23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对信息和其他资产的高风险物理或逻辑访问</w:t>
            </w:r>
            <w:r>
              <w:rPr>
                <w:rFonts w:hint="eastAsia" w:cs="Times New Roman"/>
                <w:kern w:val="2"/>
                <w:sz w:val="18"/>
                <w:szCs w:val="18"/>
                <w:lang w:val="en-US" w:eastAsia="zh-CN" w:bidi="ar-SA"/>
              </w:rPr>
              <w:t>的访问</w:t>
            </w:r>
            <w:r>
              <w:rPr>
                <w:rFonts w:hint="eastAsia" w:ascii="Times New Roman" w:hAnsi="Times New Roman" w:eastAsia="宋体" w:cs="Times New Roman"/>
                <w:kern w:val="2"/>
                <w:sz w:val="18"/>
                <w:szCs w:val="18"/>
                <w:lang w:val="en-US" w:eastAsia="zh-CN" w:bidi="ar-SA"/>
              </w:rPr>
              <w:t>权限摘录</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样本</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以</w:t>
            </w:r>
            <w:r>
              <w:rPr>
                <w:rFonts w:hint="eastAsia" w:ascii="Times New Roman" w:hAnsi="Times New Roman" w:eastAsia="宋体" w:cs="Times New Roman"/>
                <w:kern w:val="2"/>
                <w:sz w:val="18"/>
                <w:szCs w:val="18"/>
                <w:lang w:val="en-US" w:eastAsia="zh-CN" w:bidi="ar-SA"/>
              </w:rPr>
              <w:t>检查是否符合上述规则</w:t>
            </w:r>
          </w:p>
        </w:tc>
      </w:tr>
      <w:tr w14:paraId="487E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3CBEA82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5.16 身份管理</w:t>
            </w:r>
          </w:p>
        </w:tc>
        <w:tc>
          <w:tcPr>
            <w:tcW w:w="807" w:type="dxa"/>
            <w:tcBorders>
              <w:tl2br w:val="nil"/>
              <w:tr2bl w:val="nil"/>
            </w:tcBorders>
            <w:vAlign w:val="top"/>
          </w:tcPr>
          <w:p w14:paraId="274427B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7C4D72E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4B9D6CD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对</w:t>
            </w:r>
            <w:r>
              <w:rPr>
                <w:rFonts w:hint="eastAsia" w:ascii="Times New Roman" w:hAnsi="Times New Roman" w:eastAsia="宋体" w:cs="Times New Roman"/>
                <w:kern w:val="2"/>
                <w:sz w:val="18"/>
                <w:szCs w:val="18"/>
                <w:lang w:val="en-US" w:eastAsia="zh-CN" w:bidi="ar-SA"/>
              </w:rPr>
              <w:t>分配给个人或非人实体的身份</w:t>
            </w:r>
            <w:r>
              <w:rPr>
                <w:rFonts w:hint="eastAsia" w:cs="Times New Roman"/>
                <w:kern w:val="2"/>
                <w:sz w:val="18"/>
                <w:szCs w:val="18"/>
                <w:lang w:val="en-US" w:eastAsia="zh-CN" w:bidi="ar-SA"/>
              </w:rPr>
              <w:t>进行全生存周期管理</w:t>
            </w:r>
            <w:r>
              <w:rPr>
                <w:rFonts w:hint="eastAsia" w:ascii="Times New Roman" w:hAnsi="Times New Roman" w:eastAsia="宋体" w:cs="Times New Roman"/>
                <w:kern w:val="2"/>
                <w:sz w:val="18"/>
                <w:szCs w:val="18"/>
                <w:lang w:val="en-US" w:eastAsia="zh-CN" w:bidi="ar-SA"/>
              </w:rPr>
              <w:t>的</w:t>
            </w:r>
            <w:r>
              <w:rPr>
                <w:rFonts w:hint="eastAsia" w:cs="Times New Roman"/>
                <w:kern w:val="2"/>
                <w:sz w:val="18"/>
                <w:szCs w:val="18"/>
                <w:lang w:val="en-US" w:eastAsia="zh-CN" w:bidi="ar-SA"/>
              </w:rPr>
              <w:t>规程</w:t>
            </w:r>
          </w:p>
        </w:tc>
      </w:tr>
      <w:tr w14:paraId="52E0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278DEFB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5.17 鉴别信息</w:t>
            </w:r>
          </w:p>
        </w:tc>
        <w:tc>
          <w:tcPr>
            <w:tcW w:w="807" w:type="dxa"/>
            <w:tcBorders>
              <w:tl2br w:val="nil"/>
              <w:tr2bl w:val="nil"/>
            </w:tcBorders>
            <w:vAlign w:val="top"/>
          </w:tcPr>
          <w:p w14:paraId="45B69CB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6C3B967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5B22FDD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描述分配和管理</w:t>
            </w:r>
            <w:r>
              <w:rPr>
                <w:rFonts w:hint="eastAsia" w:cs="Times New Roman"/>
                <w:kern w:val="2"/>
                <w:sz w:val="18"/>
                <w:szCs w:val="18"/>
                <w:lang w:val="en-US" w:eastAsia="zh-CN" w:bidi="ar-SA"/>
              </w:rPr>
              <w:t>鉴别</w:t>
            </w:r>
            <w:r>
              <w:rPr>
                <w:rFonts w:hint="eastAsia" w:ascii="Times New Roman" w:hAnsi="Times New Roman" w:eastAsia="宋体" w:cs="Times New Roman"/>
                <w:kern w:val="2"/>
                <w:sz w:val="18"/>
                <w:szCs w:val="18"/>
                <w:lang w:val="en-US" w:eastAsia="zh-CN" w:bidi="ar-SA"/>
              </w:rPr>
              <w:t>信息的过程</w:t>
            </w:r>
          </w:p>
          <w:p w14:paraId="39806D5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正确处理</w:t>
            </w:r>
            <w:r>
              <w:rPr>
                <w:rFonts w:hint="eastAsia" w:cs="Times New Roman"/>
                <w:kern w:val="2"/>
                <w:sz w:val="18"/>
                <w:szCs w:val="18"/>
                <w:lang w:val="en-US" w:eastAsia="zh-CN" w:bidi="ar-SA"/>
              </w:rPr>
              <w:t>鉴别所用</w:t>
            </w:r>
            <w:r>
              <w:rPr>
                <w:rFonts w:hint="eastAsia" w:ascii="Times New Roman" w:hAnsi="Times New Roman" w:eastAsia="宋体" w:cs="Times New Roman"/>
                <w:kern w:val="2"/>
                <w:sz w:val="18"/>
                <w:szCs w:val="18"/>
                <w:lang w:val="en-US" w:eastAsia="zh-CN" w:bidi="ar-SA"/>
              </w:rPr>
              <w:t>信息的用户</w:t>
            </w:r>
            <w:r>
              <w:rPr>
                <w:rFonts w:hint="eastAsia" w:cs="Times New Roman"/>
                <w:kern w:val="2"/>
                <w:sz w:val="18"/>
                <w:szCs w:val="18"/>
                <w:lang w:val="en-US" w:eastAsia="zh-CN" w:bidi="ar-SA"/>
              </w:rPr>
              <w:t>操作指南</w:t>
            </w:r>
          </w:p>
          <w:p w14:paraId="57E0A5F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使用</w:t>
            </w:r>
            <w:r>
              <w:rPr>
                <w:rFonts w:hint="eastAsia" w:cs="Times New Roman"/>
                <w:kern w:val="2"/>
                <w:sz w:val="18"/>
                <w:szCs w:val="18"/>
                <w:lang w:val="en-US" w:eastAsia="zh-CN" w:bidi="ar-SA"/>
              </w:rPr>
              <w:t>口令时</w:t>
            </w:r>
            <w:r>
              <w:rPr>
                <w:rFonts w:hint="eastAsia"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口令</w:t>
            </w:r>
            <w:r>
              <w:rPr>
                <w:rFonts w:hint="eastAsia" w:ascii="Times New Roman" w:hAnsi="Times New Roman" w:eastAsia="宋体" w:cs="Times New Roman"/>
                <w:kern w:val="2"/>
                <w:sz w:val="18"/>
                <w:szCs w:val="18"/>
                <w:lang w:val="en-US" w:eastAsia="zh-CN" w:bidi="ar-SA"/>
              </w:rPr>
              <w:t>管理系统的安全设置</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长度、复杂度、轮换)</w:t>
            </w:r>
          </w:p>
        </w:tc>
      </w:tr>
      <w:tr w14:paraId="1100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E8EFB6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5.18 访问权限</w:t>
            </w:r>
          </w:p>
        </w:tc>
        <w:tc>
          <w:tcPr>
            <w:tcW w:w="807" w:type="dxa"/>
            <w:tcBorders>
              <w:tl2br w:val="nil"/>
              <w:tr2bl w:val="nil"/>
            </w:tcBorders>
            <w:vAlign w:val="top"/>
          </w:tcPr>
          <w:p w14:paraId="75BED23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194FC04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77C922D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访问控制规则，例如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在访问控制</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物理和逻辑</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特定主题策略中</w:t>
            </w:r>
          </w:p>
          <w:p w14:paraId="3C15908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分配、更新或撤销访问权限的过程描述</w:t>
            </w:r>
          </w:p>
          <w:p w14:paraId="63AB9514">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定期</w:t>
            </w:r>
            <w:r>
              <w:rPr>
                <w:rFonts w:hint="eastAsia" w:cs="Times New Roman"/>
                <w:kern w:val="2"/>
                <w:sz w:val="18"/>
                <w:szCs w:val="18"/>
                <w:lang w:val="en-US" w:eastAsia="zh-CN" w:bidi="ar-SA"/>
              </w:rPr>
              <w:t>评审</w:t>
            </w:r>
            <w:r>
              <w:rPr>
                <w:rFonts w:hint="eastAsia" w:ascii="Times New Roman" w:hAnsi="Times New Roman" w:eastAsia="宋体" w:cs="Times New Roman"/>
                <w:kern w:val="2"/>
                <w:sz w:val="18"/>
                <w:szCs w:val="18"/>
                <w:highlight w:val="none"/>
                <w:lang w:val="en-US" w:eastAsia="zh-CN" w:bidi="ar-SA"/>
              </w:rPr>
              <w:t>访</w:t>
            </w:r>
            <w:r>
              <w:rPr>
                <w:rFonts w:hint="eastAsia" w:ascii="Times New Roman" w:hAnsi="Times New Roman" w:eastAsia="宋体" w:cs="Times New Roman"/>
                <w:kern w:val="2"/>
                <w:sz w:val="18"/>
                <w:szCs w:val="18"/>
                <w:lang w:val="en-US" w:eastAsia="zh-CN" w:bidi="ar-SA"/>
              </w:rPr>
              <w:t>问权</w:t>
            </w:r>
            <w:r>
              <w:rPr>
                <w:rFonts w:hint="eastAsia" w:cs="Times New Roman"/>
                <w:kern w:val="2"/>
                <w:sz w:val="18"/>
                <w:szCs w:val="18"/>
                <w:lang w:val="en-US" w:eastAsia="zh-CN" w:bidi="ar-SA"/>
              </w:rPr>
              <w:t>限</w:t>
            </w:r>
            <w:r>
              <w:rPr>
                <w:rFonts w:hint="eastAsia" w:ascii="Times New Roman" w:hAnsi="Times New Roman" w:eastAsia="宋体" w:cs="Times New Roman"/>
                <w:kern w:val="2"/>
                <w:sz w:val="18"/>
                <w:szCs w:val="18"/>
                <w:lang w:val="en-US" w:eastAsia="zh-CN" w:bidi="ar-SA"/>
              </w:rPr>
              <w:t>的规则和</w:t>
            </w:r>
            <w:r>
              <w:rPr>
                <w:rFonts w:hint="eastAsia" w:cs="Times New Roman"/>
                <w:kern w:val="2"/>
                <w:sz w:val="18"/>
                <w:szCs w:val="18"/>
                <w:lang w:val="en-US" w:eastAsia="zh-CN" w:bidi="ar-SA"/>
              </w:rPr>
              <w:t>规程</w:t>
            </w:r>
          </w:p>
          <w:p w14:paraId="12B61C38">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分配给</w:t>
            </w:r>
            <w:r>
              <w:rPr>
                <w:rFonts w:hint="eastAsia" w:cs="Times New Roman"/>
                <w:kern w:val="2"/>
                <w:sz w:val="18"/>
                <w:szCs w:val="18"/>
                <w:lang w:val="en-US" w:eastAsia="zh-CN" w:bidi="ar-SA"/>
              </w:rPr>
              <w:t>某一</w:t>
            </w:r>
            <w:r>
              <w:rPr>
                <w:rFonts w:hint="eastAsia" w:ascii="Times New Roman" w:hAnsi="Times New Roman" w:eastAsia="宋体" w:cs="Times New Roman"/>
                <w:kern w:val="2"/>
                <w:sz w:val="18"/>
                <w:szCs w:val="18"/>
                <w:lang w:val="en-US" w:eastAsia="zh-CN" w:bidi="ar-SA"/>
              </w:rPr>
              <w:t>身份的访问权限</w:t>
            </w:r>
          </w:p>
          <w:p w14:paraId="17FA1D7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已有的</w:t>
            </w:r>
            <w:r>
              <w:rPr>
                <w:rFonts w:hint="eastAsia" w:ascii="Times New Roman" w:hAnsi="Times New Roman" w:eastAsia="宋体" w:cs="Times New Roman"/>
                <w:kern w:val="2"/>
                <w:sz w:val="18"/>
                <w:szCs w:val="18"/>
                <w:lang w:val="en-US" w:eastAsia="zh-CN" w:bidi="ar-SA"/>
              </w:rPr>
              <w:t>访问权限</w:t>
            </w:r>
            <w:r>
              <w:rPr>
                <w:rFonts w:hint="eastAsia" w:cs="Times New Roman"/>
                <w:kern w:val="2"/>
                <w:sz w:val="18"/>
                <w:szCs w:val="18"/>
                <w:lang w:val="en-US" w:eastAsia="zh-CN" w:bidi="ar-SA"/>
              </w:rPr>
              <w:t>评审</w:t>
            </w:r>
            <w:r>
              <w:rPr>
                <w:rFonts w:hint="eastAsia" w:ascii="Times New Roman" w:hAnsi="Times New Roman" w:eastAsia="宋体" w:cs="Times New Roman"/>
                <w:kern w:val="2"/>
                <w:sz w:val="18"/>
                <w:szCs w:val="18"/>
                <w:lang w:val="en-US" w:eastAsia="zh-CN" w:bidi="ar-SA"/>
              </w:rPr>
              <w:t>结果</w:t>
            </w:r>
          </w:p>
        </w:tc>
      </w:tr>
      <w:tr w14:paraId="6856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871B4D5">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5.19 供应商关系中的信息安全</w:t>
            </w:r>
          </w:p>
        </w:tc>
        <w:tc>
          <w:tcPr>
            <w:tcW w:w="807" w:type="dxa"/>
            <w:tcBorders>
              <w:tl2br w:val="nil"/>
              <w:tr2bl w:val="nil"/>
            </w:tcBorders>
            <w:vAlign w:val="top"/>
          </w:tcPr>
          <w:p w14:paraId="6FFEFE48">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53D4B1B1">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366732F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管理供应商关系中的信息安全风险的规则，例如，在使用供应商产品和服务的特定主题</w:t>
            </w:r>
            <w:r>
              <w:rPr>
                <w:rFonts w:hint="eastAsia" w:cs="Times New Roman"/>
                <w:kern w:val="2"/>
                <w:sz w:val="18"/>
                <w:szCs w:val="18"/>
                <w:lang w:val="en-US" w:eastAsia="zh-CN" w:bidi="ar-SA"/>
              </w:rPr>
              <w:t>策略</w:t>
            </w:r>
            <w:r>
              <w:rPr>
                <w:rFonts w:hint="eastAsia" w:ascii="Times New Roman" w:hAnsi="Times New Roman" w:eastAsia="宋体" w:cs="Times New Roman"/>
                <w:kern w:val="2"/>
                <w:sz w:val="18"/>
                <w:szCs w:val="18"/>
                <w:lang w:val="en-US" w:eastAsia="zh-CN" w:bidi="ar-SA"/>
              </w:rPr>
              <w:t>中</w:t>
            </w:r>
          </w:p>
          <w:p w14:paraId="5FE1464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在供应商关系的整个生</w:t>
            </w:r>
            <w:r>
              <w:rPr>
                <w:rFonts w:hint="eastAsia" w:cs="Times New Roman"/>
                <w:kern w:val="2"/>
                <w:sz w:val="18"/>
                <w:szCs w:val="18"/>
                <w:lang w:val="en-US" w:eastAsia="zh-CN" w:bidi="ar-SA"/>
              </w:rPr>
              <w:t>存</w:t>
            </w:r>
            <w:r>
              <w:rPr>
                <w:rFonts w:hint="eastAsia" w:ascii="Times New Roman" w:hAnsi="Times New Roman" w:eastAsia="宋体" w:cs="Times New Roman"/>
                <w:kern w:val="2"/>
                <w:sz w:val="18"/>
                <w:szCs w:val="18"/>
                <w:lang w:val="en-US" w:eastAsia="zh-CN" w:bidi="ar-SA"/>
              </w:rPr>
              <w:t>周期中管理信息安全的过程或</w:t>
            </w:r>
            <w:r>
              <w:rPr>
                <w:rFonts w:hint="eastAsia" w:cs="Times New Roman"/>
                <w:kern w:val="2"/>
                <w:sz w:val="18"/>
                <w:szCs w:val="18"/>
                <w:lang w:val="en-US" w:eastAsia="zh-CN" w:bidi="ar-SA"/>
              </w:rPr>
              <w:t>规程</w:t>
            </w:r>
          </w:p>
          <w:p w14:paraId="23280C4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供应商</w:t>
            </w:r>
            <w:r>
              <w:rPr>
                <w:rFonts w:hint="eastAsia" w:cs="Times New Roman"/>
                <w:kern w:val="2"/>
                <w:sz w:val="18"/>
                <w:szCs w:val="18"/>
                <w:lang w:val="en-US" w:eastAsia="zh-CN" w:bidi="ar-SA"/>
              </w:rPr>
              <w:t>评价</w:t>
            </w:r>
            <w:r>
              <w:rPr>
                <w:rFonts w:hint="eastAsia" w:ascii="Times New Roman" w:hAnsi="Times New Roman" w:eastAsia="宋体" w:cs="Times New Roman"/>
                <w:kern w:val="2"/>
                <w:sz w:val="18"/>
                <w:szCs w:val="18"/>
                <w:lang w:val="en-US" w:eastAsia="zh-CN" w:bidi="ar-SA"/>
              </w:rPr>
              <w:t>结果[</w:t>
            </w:r>
            <w:r>
              <w:rPr>
                <w:rFonts w:hint="eastAsia" w:cs="Times New Roman"/>
                <w:kern w:val="2"/>
                <w:sz w:val="18"/>
                <w:szCs w:val="18"/>
                <w:lang w:val="en-US" w:eastAsia="zh-CN" w:bidi="ar-SA"/>
              </w:rPr>
              <w:t>例如，</w:t>
            </w:r>
            <w:r>
              <w:rPr>
                <w:rFonts w:hint="eastAsia" w:ascii="Times New Roman" w:hAnsi="Times New Roman" w:eastAsia="宋体" w:cs="Times New Roman"/>
                <w:kern w:val="2"/>
                <w:sz w:val="18"/>
                <w:szCs w:val="18"/>
                <w:lang w:val="en-US" w:eastAsia="zh-CN" w:bidi="ar-SA"/>
              </w:rPr>
              <w:t>信息通信技术</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ICT</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基础设施组件、服务]</w:t>
            </w:r>
          </w:p>
          <w:p w14:paraId="0F7E31F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对</w:t>
            </w:r>
            <w:r>
              <w:rPr>
                <w:rFonts w:hint="eastAsia" w:cs="Times New Roman"/>
                <w:kern w:val="2"/>
                <w:sz w:val="18"/>
                <w:szCs w:val="18"/>
                <w:lang w:val="en-US" w:eastAsia="zh-CN" w:bidi="ar-SA"/>
              </w:rPr>
              <w:t>是否符合</w:t>
            </w:r>
            <w:r>
              <w:rPr>
                <w:rFonts w:hint="eastAsia" w:ascii="Times New Roman" w:hAnsi="Times New Roman" w:eastAsia="宋体" w:cs="Times New Roman"/>
                <w:kern w:val="2"/>
                <w:sz w:val="18"/>
                <w:szCs w:val="18"/>
                <w:lang w:val="en-US" w:eastAsia="zh-CN" w:bidi="ar-SA"/>
              </w:rPr>
              <w:t>已建立的信息安全要求的</w:t>
            </w:r>
            <w:r>
              <w:rPr>
                <w:rFonts w:hint="eastAsia" w:cs="Times New Roman"/>
                <w:kern w:val="2"/>
                <w:sz w:val="18"/>
                <w:szCs w:val="18"/>
                <w:lang w:val="en-US" w:eastAsia="zh-CN" w:bidi="ar-SA"/>
              </w:rPr>
              <w:t>监视结果（</w:t>
            </w:r>
            <w:r>
              <w:rPr>
                <w:rFonts w:hint="eastAsia"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对某一</w:t>
            </w:r>
            <w:r>
              <w:rPr>
                <w:rFonts w:hint="eastAsia" w:ascii="Times New Roman" w:hAnsi="Times New Roman" w:eastAsia="宋体" w:cs="Times New Roman"/>
                <w:kern w:val="2"/>
                <w:sz w:val="18"/>
                <w:szCs w:val="18"/>
                <w:lang w:val="en-US" w:eastAsia="zh-CN" w:bidi="ar-SA"/>
              </w:rPr>
              <w:t>供应商关系</w:t>
            </w:r>
            <w:r>
              <w:rPr>
                <w:rFonts w:hint="eastAsia" w:cs="Times New Roman"/>
                <w:kern w:val="2"/>
                <w:sz w:val="18"/>
                <w:szCs w:val="18"/>
                <w:lang w:val="en-US" w:eastAsia="zh-CN" w:bidi="ar-SA"/>
              </w:rPr>
              <w:t>）</w:t>
            </w:r>
          </w:p>
        </w:tc>
      </w:tr>
      <w:tr w14:paraId="4C13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3EED110B">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5.2</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lang w:eastAsia="zh-CN"/>
              </w:rPr>
              <w:t xml:space="preserve"> 在供应商协议中强调信息安全</w:t>
            </w:r>
          </w:p>
        </w:tc>
        <w:tc>
          <w:tcPr>
            <w:tcW w:w="807" w:type="dxa"/>
            <w:tcBorders>
              <w:tl2br w:val="nil"/>
              <w:tr2bl w:val="nil"/>
            </w:tcBorders>
            <w:vAlign w:val="top"/>
          </w:tcPr>
          <w:p w14:paraId="623F5925">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5B096C99">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6BE5AA3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与供应商关系类型相关的外部协议的登记</w:t>
            </w:r>
            <w:r>
              <w:rPr>
                <w:rFonts w:hint="eastAsia" w:cs="Times New Roman"/>
                <w:kern w:val="2"/>
                <w:sz w:val="18"/>
                <w:szCs w:val="18"/>
                <w:lang w:val="en-US" w:eastAsia="zh-CN" w:bidi="ar-SA"/>
              </w:rPr>
              <w:t>册</w:t>
            </w:r>
          </w:p>
          <w:p w14:paraId="5B02968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包含相关信息安全要求和服务</w:t>
            </w:r>
            <w:r>
              <w:rPr>
                <w:rFonts w:hint="eastAsia" w:cs="Times New Roman"/>
                <w:kern w:val="2"/>
                <w:sz w:val="18"/>
                <w:szCs w:val="18"/>
                <w:lang w:val="en-US" w:eastAsia="zh-CN" w:bidi="ar-SA"/>
              </w:rPr>
              <w:t>级别</w:t>
            </w:r>
            <w:r>
              <w:rPr>
                <w:rFonts w:hint="eastAsia" w:ascii="Times New Roman" w:hAnsi="Times New Roman" w:eastAsia="宋体" w:cs="Times New Roman"/>
                <w:kern w:val="2"/>
                <w:sz w:val="18"/>
                <w:szCs w:val="18"/>
                <w:lang w:val="en-US" w:eastAsia="zh-CN" w:bidi="ar-SA"/>
              </w:rPr>
              <w:t>协议的供应商协议样本</w:t>
            </w:r>
          </w:p>
        </w:tc>
      </w:tr>
      <w:tr w14:paraId="0DE3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9853A5D">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5.21 管理信息通信技术供应链中的信息安全</w:t>
            </w:r>
          </w:p>
        </w:tc>
        <w:tc>
          <w:tcPr>
            <w:tcW w:w="807" w:type="dxa"/>
            <w:tcBorders>
              <w:tl2br w:val="nil"/>
              <w:tr2bl w:val="nil"/>
            </w:tcBorders>
            <w:vAlign w:val="top"/>
          </w:tcPr>
          <w:p w14:paraId="09635D14">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5543ED97">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2317609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信息通信技术</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ICT</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产品或服务获取中的信息安全处理规则</w:t>
            </w:r>
          </w:p>
          <w:p w14:paraId="60EAD6B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信息通信技术供应链</w:t>
            </w:r>
            <w:r>
              <w:rPr>
                <w:rFonts w:hint="eastAsia" w:cs="Times New Roman"/>
                <w:kern w:val="2"/>
                <w:sz w:val="18"/>
                <w:szCs w:val="18"/>
                <w:lang w:val="en-US" w:eastAsia="zh-CN" w:bidi="ar-SA"/>
              </w:rPr>
              <w:t>中</w:t>
            </w:r>
            <w:r>
              <w:rPr>
                <w:rFonts w:hint="eastAsia" w:ascii="Times New Roman" w:hAnsi="Times New Roman" w:eastAsia="宋体" w:cs="Times New Roman"/>
                <w:kern w:val="2"/>
                <w:sz w:val="18"/>
                <w:szCs w:val="18"/>
                <w:lang w:val="en-US" w:eastAsia="zh-CN" w:bidi="ar-SA"/>
              </w:rPr>
              <w:t>信息安全风险管理实践</w:t>
            </w:r>
          </w:p>
          <w:p w14:paraId="539DC9D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风险分析结果，即针对特定信息通信技术</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ICT</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供应链样本的</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缓解</w:t>
            </w:r>
            <w:r>
              <w:rPr>
                <w:rFonts w:hint="eastAsia" w:cs="Times New Roman"/>
                <w:kern w:val="2"/>
                <w:sz w:val="18"/>
                <w:szCs w:val="18"/>
                <w:lang w:val="en-US" w:eastAsia="zh-CN" w:bidi="ar-SA"/>
              </w:rPr>
              <w:t>风险的</w:t>
            </w:r>
            <w:r>
              <w:rPr>
                <w:rFonts w:hint="eastAsia" w:ascii="Times New Roman" w:hAnsi="Times New Roman" w:eastAsia="宋体" w:cs="Times New Roman"/>
                <w:kern w:val="2"/>
                <w:sz w:val="18"/>
                <w:szCs w:val="18"/>
                <w:lang w:val="en-US" w:eastAsia="zh-CN" w:bidi="ar-SA"/>
              </w:rPr>
              <w:t>控制</w:t>
            </w:r>
          </w:p>
        </w:tc>
      </w:tr>
      <w:tr w14:paraId="1DCA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FDBB276">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5.22 供应商服务的监视、评审和变更管理</w:t>
            </w:r>
          </w:p>
        </w:tc>
        <w:tc>
          <w:tcPr>
            <w:tcW w:w="807" w:type="dxa"/>
            <w:tcBorders>
              <w:tl2br w:val="nil"/>
              <w:tr2bl w:val="nil"/>
            </w:tcBorders>
            <w:vAlign w:val="top"/>
          </w:tcPr>
          <w:p w14:paraId="51596988">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794BB204">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76BEC06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供应商信息安全实践和服务交付</w:t>
            </w:r>
            <w:r>
              <w:rPr>
                <w:rFonts w:hint="eastAsia" w:cs="Times New Roman"/>
                <w:kern w:val="2"/>
                <w:sz w:val="18"/>
                <w:szCs w:val="18"/>
                <w:lang w:val="en-US" w:eastAsia="zh-CN" w:bidi="ar-SA"/>
              </w:rPr>
              <w:t>的变更管理过程</w:t>
            </w:r>
          </w:p>
          <w:p w14:paraId="63D490B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定期</w:t>
            </w:r>
            <w:r>
              <w:rPr>
                <w:rFonts w:hint="eastAsia" w:cs="Times New Roman"/>
                <w:kern w:val="2"/>
                <w:sz w:val="18"/>
                <w:szCs w:val="18"/>
                <w:lang w:val="en-US" w:eastAsia="zh-CN" w:bidi="ar-SA"/>
              </w:rPr>
              <w:t>监视</w:t>
            </w:r>
            <w:r>
              <w:rPr>
                <w:rFonts w:hint="eastAsia"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评审</w:t>
            </w:r>
            <w:r>
              <w:rPr>
                <w:rFonts w:hint="eastAsia"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评价</w:t>
            </w:r>
            <w:r>
              <w:rPr>
                <w:rFonts w:hint="eastAsia" w:ascii="Times New Roman" w:hAnsi="Times New Roman" w:eastAsia="宋体" w:cs="Times New Roman"/>
                <w:kern w:val="2"/>
                <w:sz w:val="18"/>
                <w:szCs w:val="18"/>
                <w:lang w:val="en-US" w:eastAsia="zh-CN" w:bidi="ar-SA"/>
              </w:rPr>
              <w:t>供应商信息安全实践的计划</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例如，通过服务报告、供应商</w:t>
            </w:r>
            <w:r>
              <w:rPr>
                <w:rFonts w:hint="eastAsia" w:cs="Times New Roman"/>
                <w:kern w:val="2"/>
                <w:sz w:val="18"/>
                <w:szCs w:val="18"/>
                <w:lang w:val="en-US" w:eastAsia="zh-CN" w:bidi="ar-SA"/>
              </w:rPr>
              <w:t>审核）</w:t>
            </w:r>
          </w:p>
          <w:p w14:paraId="6D8C1ED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监视</w:t>
            </w:r>
            <w:r>
              <w:rPr>
                <w:rFonts w:hint="eastAsia" w:ascii="Times New Roman" w:hAnsi="Times New Roman" w:eastAsia="宋体" w:cs="Times New Roman"/>
                <w:kern w:val="2"/>
                <w:sz w:val="18"/>
                <w:szCs w:val="18"/>
                <w:lang w:val="en-US" w:eastAsia="zh-CN" w:bidi="ar-SA"/>
              </w:rPr>
              <w:t>和</w:t>
            </w:r>
            <w:r>
              <w:rPr>
                <w:rFonts w:hint="eastAsia" w:cs="Times New Roman"/>
                <w:kern w:val="2"/>
                <w:sz w:val="18"/>
                <w:szCs w:val="18"/>
                <w:lang w:val="en-US" w:eastAsia="zh-CN" w:bidi="ar-SA"/>
              </w:rPr>
              <w:t>评审</w:t>
            </w:r>
            <w:r>
              <w:rPr>
                <w:rFonts w:hint="eastAsia" w:ascii="Times New Roman" w:hAnsi="Times New Roman" w:eastAsia="宋体" w:cs="Times New Roman"/>
                <w:kern w:val="2"/>
                <w:sz w:val="18"/>
                <w:szCs w:val="18"/>
                <w:lang w:val="en-US" w:eastAsia="zh-CN" w:bidi="ar-SA"/>
              </w:rPr>
              <w:t>活动的结果，包括行动计划</w:t>
            </w:r>
          </w:p>
        </w:tc>
      </w:tr>
      <w:tr w14:paraId="10D1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5763A38">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5.23 云服务使用的信息安全</w:t>
            </w:r>
          </w:p>
        </w:tc>
        <w:tc>
          <w:tcPr>
            <w:tcW w:w="807" w:type="dxa"/>
            <w:tcBorders>
              <w:tl2br w:val="nil"/>
              <w:tr2bl w:val="nil"/>
            </w:tcBorders>
            <w:vAlign w:val="top"/>
          </w:tcPr>
          <w:p w14:paraId="25E9CA29">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21DB0038">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14972D1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管理云服务中的信息安全风险的规则，例如，在云服务使用的特定主题</w:t>
            </w:r>
            <w:r>
              <w:rPr>
                <w:rFonts w:hint="eastAsia" w:cs="Times New Roman"/>
                <w:kern w:val="2"/>
                <w:sz w:val="18"/>
                <w:szCs w:val="18"/>
                <w:lang w:val="en-US" w:eastAsia="zh-CN" w:bidi="ar-SA"/>
              </w:rPr>
              <w:t>策略</w:t>
            </w:r>
            <w:r>
              <w:rPr>
                <w:rFonts w:hint="eastAsia" w:ascii="Times New Roman" w:hAnsi="Times New Roman" w:eastAsia="宋体" w:cs="Times New Roman"/>
                <w:kern w:val="2"/>
                <w:sz w:val="18"/>
                <w:szCs w:val="18"/>
                <w:lang w:val="en-US" w:eastAsia="zh-CN" w:bidi="ar-SA"/>
              </w:rPr>
              <w:t>中</w:t>
            </w:r>
          </w:p>
          <w:p w14:paraId="73E4D42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组织在用的云服务列表</w:t>
            </w:r>
          </w:p>
          <w:p w14:paraId="75DB92C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管理与使用云服务相关的信息安全风险的</w:t>
            </w:r>
            <w:r>
              <w:rPr>
                <w:rFonts w:hint="eastAsia" w:cs="Times New Roman"/>
                <w:kern w:val="2"/>
                <w:sz w:val="18"/>
                <w:szCs w:val="18"/>
                <w:lang w:val="en-US" w:eastAsia="zh-CN" w:bidi="ar-SA"/>
              </w:rPr>
              <w:t>过程</w:t>
            </w:r>
          </w:p>
          <w:p w14:paraId="0983473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当</w:t>
            </w:r>
            <w:r>
              <w:rPr>
                <w:rFonts w:hint="eastAsia" w:ascii="Times New Roman" w:hAnsi="Times New Roman" w:eastAsia="宋体" w:cs="Times New Roman"/>
                <w:kern w:val="2"/>
                <w:sz w:val="18"/>
                <w:szCs w:val="18"/>
                <w:lang w:val="en-US" w:eastAsia="zh-CN" w:bidi="ar-SA"/>
              </w:rPr>
              <w:t>云服务协议未</w:t>
            </w:r>
            <w:r>
              <w:rPr>
                <w:rFonts w:hint="eastAsia" w:cs="Times New Roman"/>
                <w:kern w:val="2"/>
                <w:sz w:val="18"/>
                <w:szCs w:val="18"/>
                <w:lang w:val="en-US" w:eastAsia="zh-CN" w:bidi="ar-SA"/>
              </w:rPr>
              <w:t>包括</w:t>
            </w:r>
            <w:r>
              <w:rPr>
                <w:rFonts w:hint="eastAsia" w:ascii="Times New Roman" w:hAnsi="Times New Roman" w:eastAsia="宋体" w:cs="Times New Roman"/>
                <w:kern w:val="2"/>
                <w:sz w:val="18"/>
                <w:szCs w:val="18"/>
                <w:lang w:val="en-US" w:eastAsia="zh-CN" w:bidi="ar-SA"/>
              </w:rPr>
              <w:t>组织的</w:t>
            </w:r>
            <w:r>
              <w:rPr>
                <w:rFonts w:hint="eastAsia" w:cs="Times New Roman"/>
                <w:kern w:val="2"/>
                <w:sz w:val="18"/>
                <w:szCs w:val="18"/>
                <w:lang w:val="en-US" w:eastAsia="zh-CN" w:bidi="ar-SA"/>
              </w:rPr>
              <w:t>保密</w:t>
            </w:r>
            <w:r>
              <w:rPr>
                <w:rFonts w:hint="eastAsia" w:ascii="Times New Roman" w:hAnsi="Times New Roman" w:eastAsia="宋体" w:cs="Times New Roman"/>
                <w:kern w:val="2"/>
                <w:sz w:val="18"/>
                <w:szCs w:val="18"/>
                <w:lang w:val="en-US" w:eastAsia="zh-CN" w:bidi="ar-SA"/>
              </w:rPr>
              <w:t>性、完整性、可用性和信息处理要求</w:t>
            </w:r>
            <w:r>
              <w:rPr>
                <w:rFonts w:hint="eastAsia" w:cs="Times New Roman"/>
                <w:kern w:val="2"/>
                <w:sz w:val="18"/>
                <w:szCs w:val="18"/>
                <w:lang w:val="en-US" w:eastAsia="zh-CN" w:bidi="ar-SA"/>
              </w:rPr>
              <w:t>时</w:t>
            </w:r>
            <w:r>
              <w:rPr>
                <w:rFonts w:hint="eastAsia"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为</w:t>
            </w:r>
            <w:r>
              <w:rPr>
                <w:rFonts w:hint="eastAsia" w:ascii="Times New Roman" w:hAnsi="Times New Roman" w:eastAsia="宋体" w:cs="Times New Roman"/>
                <w:kern w:val="2"/>
                <w:sz w:val="18"/>
                <w:szCs w:val="18"/>
                <w:lang w:val="en-US" w:eastAsia="zh-CN" w:bidi="ar-SA"/>
              </w:rPr>
              <w:t>保护组织的数据和服务可用性</w:t>
            </w:r>
            <w:r>
              <w:rPr>
                <w:rFonts w:hint="eastAsia" w:cs="Times New Roman"/>
                <w:kern w:val="2"/>
                <w:sz w:val="18"/>
                <w:szCs w:val="18"/>
                <w:lang w:val="en-US" w:eastAsia="zh-CN" w:bidi="ar-SA"/>
              </w:rPr>
              <w:t>所做出的具体规定</w:t>
            </w:r>
          </w:p>
        </w:tc>
      </w:tr>
      <w:tr w14:paraId="1D68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10E102A">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5.24 信息安全事件管理规划和准备</w:t>
            </w:r>
          </w:p>
        </w:tc>
        <w:tc>
          <w:tcPr>
            <w:tcW w:w="807" w:type="dxa"/>
            <w:tcBorders>
              <w:tl2br w:val="nil"/>
              <w:tr2bl w:val="nil"/>
            </w:tcBorders>
            <w:vAlign w:val="top"/>
          </w:tcPr>
          <w:p w14:paraId="4F5EB96C">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5F9BD3D7">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600BE93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处理信息安全事件的过程、计划、角色和责任</w:t>
            </w:r>
          </w:p>
          <w:p w14:paraId="7C8EAD08">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信息安全事件的报告</w:t>
            </w:r>
            <w:r>
              <w:rPr>
                <w:rFonts w:hint="eastAsia" w:cs="Times New Roman"/>
                <w:kern w:val="2"/>
                <w:sz w:val="18"/>
                <w:szCs w:val="18"/>
                <w:lang w:val="en-US" w:eastAsia="zh-CN" w:bidi="ar-SA"/>
              </w:rPr>
              <w:t>规程</w:t>
            </w:r>
            <w:r>
              <w:rPr>
                <w:rFonts w:hint="eastAsia" w:ascii="Times New Roman" w:hAnsi="Times New Roman" w:eastAsia="宋体" w:cs="Times New Roman"/>
                <w:kern w:val="2"/>
                <w:sz w:val="18"/>
                <w:szCs w:val="18"/>
                <w:lang w:val="en-US" w:eastAsia="zh-CN" w:bidi="ar-SA"/>
              </w:rPr>
              <w:t>和此类报告的示例</w:t>
            </w:r>
          </w:p>
        </w:tc>
      </w:tr>
      <w:tr w14:paraId="4C47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898CCDC">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5.25 信息安全事态的评估和决策</w:t>
            </w:r>
          </w:p>
        </w:tc>
        <w:tc>
          <w:tcPr>
            <w:tcW w:w="807" w:type="dxa"/>
            <w:tcBorders>
              <w:tl2br w:val="nil"/>
              <w:tr2bl w:val="nil"/>
            </w:tcBorders>
            <w:vAlign w:val="top"/>
          </w:tcPr>
          <w:p w14:paraId="0D855185">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601DA106">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74798544">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信息安全</w:t>
            </w:r>
            <w:r>
              <w:rPr>
                <w:rFonts w:hint="eastAsia" w:cs="Times New Roman"/>
                <w:kern w:val="2"/>
                <w:sz w:val="18"/>
                <w:szCs w:val="18"/>
                <w:lang w:val="en-US" w:eastAsia="zh-CN" w:bidi="ar-SA"/>
              </w:rPr>
              <w:t>事态</w:t>
            </w:r>
            <w:r>
              <w:rPr>
                <w:rFonts w:hint="eastAsia" w:ascii="Times New Roman" w:hAnsi="Times New Roman" w:eastAsia="宋体" w:cs="Times New Roman"/>
                <w:kern w:val="2"/>
                <w:sz w:val="18"/>
                <w:szCs w:val="18"/>
                <w:lang w:val="en-US" w:eastAsia="zh-CN" w:bidi="ar-SA"/>
              </w:rPr>
              <w:t>的</w:t>
            </w:r>
            <w:r>
              <w:rPr>
                <w:rFonts w:hint="eastAsia" w:cs="Times New Roman"/>
                <w:kern w:val="2"/>
                <w:sz w:val="18"/>
                <w:szCs w:val="18"/>
                <w:lang w:val="en-US" w:eastAsia="zh-CN" w:bidi="ar-SA"/>
              </w:rPr>
              <w:t>评估准则</w:t>
            </w:r>
          </w:p>
          <w:p w14:paraId="7839699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信息安全</w:t>
            </w:r>
            <w:r>
              <w:rPr>
                <w:rFonts w:hint="eastAsia" w:cs="Times New Roman"/>
                <w:kern w:val="2"/>
                <w:sz w:val="18"/>
                <w:szCs w:val="18"/>
                <w:lang w:val="en-US" w:eastAsia="zh-CN" w:bidi="ar-SA"/>
              </w:rPr>
              <w:t>事态</w:t>
            </w:r>
            <w:r>
              <w:rPr>
                <w:rFonts w:hint="eastAsia" w:ascii="Times New Roman" w:hAnsi="Times New Roman" w:eastAsia="宋体" w:cs="Times New Roman"/>
                <w:kern w:val="2"/>
                <w:sz w:val="18"/>
                <w:szCs w:val="18"/>
                <w:lang w:val="en-US" w:eastAsia="zh-CN" w:bidi="ar-SA"/>
              </w:rPr>
              <w:t>的分类</w:t>
            </w:r>
            <w:r>
              <w:rPr>
                <w:rFonts w:hint="eastAsia" w:cs="Times New Roman"/>
                <w:kern w:val="2"/>
                <w:sz w:val="18"/>
                <w:szCs w:val="18"/>
                <w:lang w:val="en-US" w:eastAsia="zh-CN" w:bidi="ar-SA"/>
              </w:rPr>
              <w:t>和优先级</w:t>
            </w:r>
            <w:r>
              <w:rPr>
                <w:rFonts w:hint="eastAsia" w:ascii="Times New Roman" w:hAnsi="Times New Roman" w:eastAsia="宋体" w:cs="Times New Roman"/>
                <w:kern w:val="2"/>
                <w:sz w:val="18"/>
                <w:szCs w:val="18"/>
                <w:lang w:val="en-US" w:eastAsia="zh-CN" w:bidi="ar-SA"/>
              </w:rPr>
              <w:t>方案</w:t>
            </w:r>
          </w:p>
        </w:tc>
      </w:tr>
      <w:tr w14:paraId="22A4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971CE3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5.26 信息安全事件的响应</w:t>
            </w:r>
          </w:p>
        </w:tc>
        <w:tc>
          <w:tcPr>
            <w:tcW w:w="807" w:type="dxa"/>
            <w:tcBorders>
              <w:tl2br w:val="nil"/>
              <w:tr2bl w:val="nil"/>
            </w:tcBorders>
            <w:vAlign w:val="top"/>
          </w:tcPr>
          <w:p w14:paraId="28040C5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54229FB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47C3891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信息安全</w:t>
            </w:r>
            <w:r>
              <w:rPr>
                <w:rFonts w:hint="eastAsia" w:cs="Times New Roman"/>
                <w:kern w:val="2"/>
                <w:sz w:val="18"/>
                <w:szCs w:val="18"/>
                <w:lang w:val="en-US" w:eastAsia="zh-CN" w:bidi="ar-SA"/>
              </w:rPr>
              <w:t>事件响应规程</w:t>
            </w:r>
          </w:p>
          <w:p w14:paraId="0AC532A4">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事件记录和相应的事件响应</w:t>
            </w:r>
          </w:p>
        </w:tc>
      </w:tr>
      <w:tr w14:paraId="54F3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76681FF">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5.27 从信息安全事件中学习</w:t>
            </w:r>
          </w:p>
        </w:tc>
        <w:tc>
          <w:tcPr>
            <w:tcW w:w="807" w:type="dxa"/>
            <w:tcBorders>
              <w:tl2br w:val="nil"/>
              <w:tr2bl w:val="nil"/>
            </w:tcBorders>
            <w:vAlign w:val="top"/>
          </w:tcPr>
          <w:p w14:paraId="65DD4D8D">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6DDAD1DC">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0380B9A4">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信息安全事件的记录，包括类型、数量和成本</w:t>
            </w:r>
          </w:p>
          <w:p w14:paraId="3666F544">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从信息安全</w:t>
            </w:r>
            <w:r>
              <w:rPr>
                <w:rFonts w:hint="eastAsia" w:cs="Times New Roman"/>
                <w:kern w:val="2"/>
                <w:sz w:val="18"/>
                <w:szCs w:val="18"/>
                <w:lang w:val="en-US" w:eastAsia="zh-CN" w:bidi="ar-SA"/>
              </w:rPr>
              <w:t>事件</w:t>
            </w:r>
            <w:r>
              <w:rPr>
                <w:rFonts w:hint="eastAsia" w:ascii="Times New Roman" w:hAnsi="Times New Roman" w:eastAsia="宋体" w:cs="Times New Roman"/>
                <w:kern w:val="2"/>
                <w:sz w:val="18"/>
                <w:szCs w:val="18"/>
                <w:lang w:val="en-US" w:eastAsia="zh-CN" w:bidi="ar-SA"/>
              </w:rPr>
              <w:t>分析中得的经验教训，例如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加强</w:t>
            </w:r>
            <w:r>
              <w:rPr>
                <w:rFonts w:hint="eastAsia" w:cs="Times New Roman"/>
                <w:kern w:val="2"/>
                <w:sz w:val="18"/>
                <w:szCs w:val="18"/>
                <w:lang w:val="en-US" w:eastAsia="zh-CN" w:bidi="ar-SA"/>
              </w:rPr>
              <w:t>事件</w:t>
            </w:r>
            <w:r>
              <w:rPr>
                <w:rFonts w:hint="eastAsia" w:ascii="Times New Roman" w:hAnsi="Times New Roman" w:eastAsia="宋体" w:cs="Times New Roman"/>
                <w:kern w:val="2"/>
                <w:sz w:val="18"/>
                <w:szCs w:val="18"/>
                <w:lang w:val="en-US" w:eastAsia="zh-CN" w:bidi="ar-SA"/>
              </w:rPr>
              <w:t>管理计划、</w:t>
            </w:r>
            <w:r>
              <w:rPr>
                <w:rFonts w:hint="eastAsia" w:cs="Times New Roman"/>
                <w:kern w:val="2"/>
                <w:sz w:val="18"/>
                <w:szCs w:val="18"/>
                <w:lang w:val="en-US" w:eastAsia="zh-CN" w:bidi="ar-SA"/>
              </w:rPr>
              <w:t>完善</w:t>
            </w:r>
            <w:r>
              <w:rPr>
                <w:rFonts w:hint="eastAsia" w:ascii="Times New Roman" w:hAnsi="Times New Roman" w:eastAsia="宋体" w:cs="Times New Roman"/>
                <w:kern w:val="2"/>
                <w:sz w:val="18"/>
                <w:szCs w:val="18"/>
                <w:lang w:val="en-US" w:eastAsia="zh-CN" w:bidi="ar-SA"/>
              </w:rPr>
              <w:t>控制和提高</w:t>
            </w:r>
            <w:r>
              <w:rPr>
                <w:rFonts w:hint="eastAsia" w:cs="Times New Roman"/>
                <w:kern w:val="2"/>
                <w:sz w:val="18"/>
                <w:szCs w:val="18"/>
                <w:lang w:val="en-US" w:eastAsia="zh-CN" w:bidi="ar-SA"/>
              </w:rPr>
              <w:t>意识</w:t>
            </w:r>
          </w:p>
        </w:tc>
      </w:tr>
      <w:tr w14:paraId="1592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7CF5677">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5.28 证据收集</w:t>
            </w:r>
          </w:p>
        </w:tc>
        <w:tc>
          <w:tcPr>
            <w:tcW w:w="807" w:type="dxa"/>
            <w:tcBorders>
              <w:tl2br w:val="nil"/>
              <w:tr2bl w:val="nil"/>
            </w:tcBorders>
            <w:vAlign w:val="top"/>
          </w:tcPr>
          <w:p w14:paraId="29F073D7">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58ECD9F9">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58F7415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处理与信息安全事件有关的证据的</w:t>
            </w:r>
            <w:r>
              <w:rPr>
                <w:rFonts w:hint="eastAsia" w:cs="Times New Roman"/>
                <w:kern w:val="2"/>
                <w:sz w:val="18"/>
                <w:szCs w:val="18"/>
                <w:lang w:val="en-US" w:eastAsia="zh-CN" w:bidi="ar-SA"/>
              </w:rPr>
              <w:t>规程</w:t>
            </w:r>
            <w:r>
              <w:rPr>
                <w:rFonts w:hint="eastAsia"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识别、收集、</w:t>
            </w:r>
            <w:r>
              <w:rPr>
                <w:rFonts w:hint="eastAsia" w:cs="Times New Roman"/>
                <w:kern w:val="2"/>
                <w:sz w:val="18"/>
                <w:szCs w:val="18"/>
                <w:lang w:val="en-US" w:eastAsia="zh-CN" w:bidi="ar-SA"/>
              </w:rPr>
              <w:t>获取和</w:t>
            </w:r>
            <w:r>
              <w:rPr>
                <w:rFonts w:hint="eastAsia" w:ascii="Times New Roman" w:hAnsi="Times New Roman" w:eastAsia="宋体" w:cs="Times New Roman"/>
                <w:kern w:val="2"/>
                <w:sz w:val="18"/>
                <w:szCs w:val="18"/>
                <w:lang w:val="en-US" w:eastAsia="zh-CN" w:bidi="ar-SA"/>
              </w:rPr>
              <w:t>保存证据的</w:t>
            </w:r>
            <w:r>
              <w:rPr>
                <w:rFonts w:hint="eastAsia" w:cs="Times New Roman"/>
                <w:kern w:val="2"/>
                <w:sz w:val="18"/>
                <w:szCs w:val="18"/>
                <w:lang w:val="en-US" w:eastAsia="zh-CN" w:bidi="ar-SA"/>
              </w:rPr>
              <w:t>规程</w:t>
            </w:r>
          </w:p>
        </w:tc>
      </w:tr>
      <w:tr w14:paraId="08B9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AE9C46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5.29 中断期间的信息安全</w:t>
            </w:r>
          </w:p>
        </w:tc>
        <w:tc>
          <w:tcPr>
            <w:tcW w:w="807" w:type="dxa"/>
            <w:tcBorders>
              <w:tl2br w:val="nil"/>
              <w:tr2bl w:val="nil"/>
            </w:tcBorders>
            <w:vAlign w:val="top"/>
          </w:tcPr>
          <w:p w14:paraId="1048CD4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406218D2">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7E0F73A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在中断期间维持适当信息安全级别的计划</w:t>
            </w:r>
          </w:p>
          <w:p w14:paraId="7F8BECE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将信息安全要求纳入业务连续性管理</w:t>
            </w:r>
            <w:r>
              <w:rPr>
                <w:rFonts w:hint="eastAsia" w:cs="Times New Roman"/>
                <w:kern w:val="2"/>
                <w:sz w:val="18"/>
                <w:szCs w:val="18"/>
                <w:lang w:val="en-US" w:eastAsia="zh-CN" w:bidi="ar-SA"/>
              </w:rPr>
              <w:t>规划</w:t>
            </w:r>
            <w:r>
              <w:rPr>
                <w:rFonts w:hint="eastAsia" w:ascii="Times New Roman" w:hAnsi="Times New Roman" w:eastAsia="宋体" w:cs="Times New Roman"/>
                <w:kern w:val="2"/>
                <w:sz w:val="18"/>
                <w:szCs w:val="18"/>
                <w:lang w:val="en-US" w:eastAsia="zh-CN" w:bidi="ar-SA"/>
              </w:rPr>
              <w:t>和</w:t>
            </w:r>
            <w:r>
              <w:rPr>
                <w:rFonts w:hint="eastAsia" w:cs="Times New Roman"/>
                <w:kern w:val="2"/>
                <w:sz w:val="18"/>
                <w:szCs w:val="18"/>
                <w:lang w:val="en-US" w:eastAsia="zh-CN" w:bidi="ar-SA"/>
              </w:rPr>
              <w:t>过程</w:t>
            </w:r>
          </w:p>
        </w:tc>
      </w:tr>
      <w:tr w14:paraId="78AD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2704FC0A">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5.3</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lang w:eastAsia="zh-CN"/>
              </w:rPr>
              <w:t xml:space="preserve"> 业务连续性的信息通信技术就绪</w:t>
            </w:r>
          </w:p>
        </w:tc>
        <w:tc>
          <w:tcPr>
            <w:tcW w:w="807" w:type="dxa"/>
            <w:tcBorders>
              <w:tl2br w:val="nil"/>
              <w:tr2bl w:val="nil"/>
            </w:tcBorders>
            <w:vAlign w:val="top"/>
          </w:tcPr>
          <w:p w14:paraId="755AB1A9">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7E833A22">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790280F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从业务影响分析</w:t>
            </w:r>
            <w:r>
              <w:rPr>
                <w:rFonts w:hint="eastAsia" w:cs="Times New Roman"/>
                <w:kern w:val="2"/>
                <w:sz w:val="18"/>
                <w:szCs w:val="18"/>
                <w:lang w:val="en-US" w:eastAsia="zh-CN" w:bidi="ar-SA"/>
              </w:rPr>
              <w:t>中得到</w:t>
            </w:r>
            <w:r>
              <w:rPr>
                <w:rFonts w:hint="eastAsia" w:ascii="Times New Roman" w:hAnsi="Times New Roman" w:eastAsia="宋体" w:cs="Times New Roman"/>
                <w:kern w:val="2"/>
                <w:sz w:val="18"/>
                <w:szCs w:val="18"/>
                <w:lang w:val="en-US" w:eastAsia="zh-CN" w:bidi="ar-SA"/>
              </w:rPr>
              <w:t>信息通信技术</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ICT</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连续性要求</w:t>
            </w:r>
          </w:p>
          <w:p w14:paraId="6A5D870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信息通信技术连续性计划</w:t>
            </w:r>
          </w:p>
          <w:p w14:paraId="0FAA3D2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定期的信息通信</w:t>
            </w:r>
            <w:r>
              <w:rPr>
                <w:rFonts w:hint="eastAsia" w:ascii="Times New Roman" w:hAnsi="Times New Roman" w:eastAsia="宋体" w:cs="Times New Roman"/>
                <w:kern w:val="2"/>
                <w:sz w:val="18"/>
                <w:szCs w:val="18"/>
                <w:lang w:val="en-US" w:eastAsia="zh-CN" w:bidi="ar-SA"/>
              </w:rPr>
              <w:t>技术连续性测试</w:t>
            </w:r>
            <w:r>
              <w:rPr>
                <w:rFonts w:hint="eastAsia" w:cs="Times New Roman"/>
                <w:kern w:val="2"/>
                <w:sz w:val="18"/>
                <w:szCs w:val="18"/>
                <w:lang w:val="en-US" w:eastAsia="zh-CN" w:bidi="ar-SA"/>
              </w:rPr>
              <w:t>的测试</w:t>
            </w:r>
            <w:r>
              <w:rPr>
                <w:rFonts w:hint="eastAsia" w:ascii="Times New Roman" w:hAnsi="Times New Roman" w:eastAsia="宋体" w:cs="Times New Roman"/>
                <w:kern w:val="2"/>
                <w:sz w:val="18"/>
                <w:szCs w:val="18"/>
                <w:lang w:val="en-US" w:eastAsia="zh-CN" w:bidi="ar-SA"/>
              </w:rPr>
              <w:t>结果</w:t>
            </w:r>
          </w:p>
        </w:tc>
      </w:tr>
      <w:tr w14:paraId="2351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1104E6E">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5.31 法律、法规、规章和合同要求</w:t>
            </w:r>
          </w:p>
        </w:tc>
        <w:tc>
          <w:tcPr>
            <w:tcW w:w="807" w:type="dxa"/>
            <w:tcBorders>
              <w:tl2br w:val="nil"/>
              <w:tr2bl w:val="nil"/>
            </w:tcBorders>
            <w:vAlign w:val="top"/>
          </w:tcPr>
          <w:p w14:paraId="41E475AF">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58B9DE8A">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7E16BDC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组织</w:t>
            </w:r>
            <w:r>
              <w:rPr>
                <w:rFonts w:hint="eastAsia" w:cs="Times New Roman"/>
                <w:kern w:val="2"/>
                <w:sz w:val="18"/>
                <w:szCs w:val="18"/>
                <w:lang w:val="en-US" w:eastAsia="zh-CN" w:bidi="ar-SA"/>
              </w:rPr>
              <w:t>在其</w:t>
            </w:r>
            <w:r>
              <w:rPr>
                <w:rFonts w:hint="eastAsia" w:ascii="Times New Roman" w:hAnsi="Times New Roman" w:eastAsia="宋体" w:cs="Times New Roman"/>
                <w:kern w:val="2"/>
                <w:sz w:val="18"/>
                <w:szCs w:val="18"/>
                <w:lang w:val="en-US" w:eastAsia="zh-CN" w:bidi="ar-SA"/>
              </w:rPr>
              <w:t>开展业务或使用</w:t>
            </w:r>
            <w:r>
              <w:rPr>
                <w:rFonts w:hint="eastAsia" w:cs="Times New Roman"/>
                <w:kern w:val="2"/>
                <w:sz w:val="18"/>
                <w:szCs w:val="18"/>
                <w:lang w:val="en-US" w:eastAsia="zh-CN" w:bidi="ar-SA"/>
              </w:rPr>
              <w:t>了其</w:t>
            </w:r>
            <w:r>
              <w:rPr>
                <w:rFonts w:hint="eastAsia" w:ascii="Times New Roman" w:hAnsi="Times New Roman" w:eastAsia="宋体" w:cs="Times New Roman"/>
                <w:kern w:val="2"/>
                <w:sz w:val="18"/>
                <w:szCs w:val="18"/>
                <w:lang w:val="en-US" w:eastAsia="zh-CN" w:bidi="ar-SA"/>
              </w:rPr>
              <w:t>产品和服务</w:t>
            </w:r>
            <w:r>
              <w:rPr>
                <w:rFonts w:hint="eastAsia" w:cs="Times New Roman"/>
                <w:kern w:val="2"/>
                <w:sz w:val="18"/>
                <w:szCs w:val="18"/>
                <w:lang w:val="en-US" w:eastAsia="zh-CN" w:bidi="ar-SA"/>
              </w:rPr>
              <w:t>（这些产品和服务</w:t>
            </w:r>
            <w:r>
              <w:rPr>
                <w:rFonts w:hint="eastAsia" w:ascii="Times New Roman" w:hAnsi="Times New Roman" w:eastAsia="宋体" w:cs="Times New Roman"/>
                <w:kern w:val="2"/>
                <w:sz w:val="18"/>
                <w:szCs w:val="18"/>
                <w:lang w:val="en-US" w:eastAsia="zh-CN" w:bidi="ar-SA"/>
              </w:rPr>
              <w:t>可能影响组织信息安全</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的相关</w:t>
            </w:r>
            <w:r>
              <w:rPr>
                <w:rFonts w:hint="eastAsia" w:cs="Times New Roman"/>
                <w:kern w:val="2"/>
                <w:sz w:val="18"/>
                <w:szCs w:val="18"/>
                <w:lang w:val="en-US" w:eastAsia="zh-CN" w:bidi="ar-SA"/>
              </w:rPr>
              <w:t>国家的</w:t>
            </w:r>
            <w:r>
              <w:rPr>
                <w:rFonts w:hint="eastAsia" w:ascii="Times New Roman" w:hAnsi="Times New Roman" w:eastAsia="宋体" w:cs="Times New Roman"/>
                <w:kern w:val="2"/>
                <w:sz w:val="18"/>
                <w:szCs w:val="18"/>
                <w:lang w:val="en-US" w:eastAsia="zh-CN" w:bidi="ar-SA"/>
              </w:rPr>
              <w:t>列表</w:t>
            </w:r>
          </w:p>
          <w:p w14:paraId="3E73AC6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所</w:t>
            </w:r>
            <w:r>
              <w:rPr>
                <w:rFonts w:hint="eastAsia" w:ascii="Times New Roman" w:hAnsi="Times New Roman" w:eastAsia="宋体" w:cs="Times New Roman"/>
                <w:kern w:val="2"/>
                <w:sz w:val="18"/>
                <w:szCs w:val="18"/>
                <w:lang w:val="en-US" w:eastAsia="zh-CN" w:bidi="ar-SA"/>
              </w:rPr>
              <w:t>识别</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外部</w:t>
            </w:r>
            <w:r>
              <w:rPr>
                <w:rFonts w:hint="eastAsia" w:cs="Times New Roman"/>
                <w:kern w:val="2"/>
                <w:sz w:val="18"/>
                <w:szCs w:val="18"/>
                <w:lang w:val="en-US" w:eastAsia="zh-CN" w:bidi="ar-SA"/>
              </w:rPr>
              <w:t>要求</w:t>
            </w:r>
            <w:r>
              <w:rPr>
                <w:rFonts w:hint="eastAsia" w:ascii="Times New Roman" w:hAnsi="Times New Roman" w:eastAsia="宋体" w:cs="Times New Roman"/>
                <w:kern w:val="2"/>
                <w:sz w:val="18"/>
                <w:szCs w:val="18"/>
                <w:lang w:val="en-US" w:eastAsia="zh-CN" w:bidi="ar-SA"/>
              </w:rPr>
              <w:t>，包括与信息安全相关的法律、法规或合同要求，特别是</w:t>
            </w:r>
            <w:r>
              <w:rPr>
                <w:rFonts w:hint="eastAsia" w:cs="Times New Roman"/>
                <w:kern w:val="2"/>
                <w:sz w:val="18"/>
                <w:szCs w:val="18"/>
                <w:lang w:val="en-US" w:eastAsia="zh-CN" w:bidi="ar-SA"/>
              </w:rPr>
              <w:t>与</w:t>
            </w:r>
            <w:r>
              <w:rPr>
                <w:rFonts w:hint="eastAsia" w:ascii="Times New Roman" w:hAnsi="Times New Roman" w:eastAsia="宋体" w:cs="Times New Roman"/>
                <w:kern w:val="2"/>
                <w:sz w:val="18"/>
                <w:szCs w:val="18"/>
                <w:lang w:val="en-US" w:eastAsia="zh-CN" w:bidi="ar-SA"/>
              </w:rPr>
              <w:t>任何形式使用加密技术</w:t>
            </w:r>
            <w:r>
              <w:rPr>
                <w:rFonts w:hint="eastAsia" w:cs="Times New Roman"/>
                <w:kern w:val="2"/>
                <w:sz w:val="18"/>
                <w:szCs w:val="18"/>
                <w:lang w:val="en-US" w:eastAsia="zh-CN" w:bidi="ar-SA"/>
              </w:rPr>
              <w:t>有关</w:t>
            </w:r>
            <w:r>
              <w:rPr>
                <w:rFonts w:hint="eastAsia" w:ascii="Times New Roman" w:hAnsi="Times New Roman" w:eastAsia="宋体" w:cs="Times New Roman"/>
                <w:kern w:val="2"/>
                <w:sz w:val="18"/>
                <w:szCs w:val="18"/>
                <w:lang w:val="en-US" w:eastAsia="zh-CN" w:bidi="ar-SA"/>
              </w:rPr>
              <w:t>的要求</w:t>
            </w:r>
          </w:p>
        </w:tc>
      </w:tr>
      <w:tr w14:paraId="0A17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2554193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5.32 知识产权</w:t>
            </w:r>
          </w:p>
        </w:tc>
        <w:tc>
          <w:tcPr>
            <w:tcW w:w="807" w:type="dxa"/>
            <w:tcBorders>
              <w:tl2br w:val="nil"/>
              <w:tr2bl w:val="nil"/>
            </w:tcBorders>
            <w:vAlign w:val="top"/>
          </w:tcPr>
          <w:p w14:paraId="683E60E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12F59F87">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6F825A2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管理知识产权的规则，例如在特定主题</w:t>
            </w:r>
            <w:r>
              <w:rPr>
                <w:rFonts w:hint="eastAsia" w:cs="Times New Roman"/>
                <w:kern w:val="2"/>
                <w:sz w:val="18"/>
                <w:szCs w:val="18"/>
                <w:lang w:val="en-US" w:eastAsia="zh-CN" w:bidi="ar-SA"/>
              </w:rPr>
              <w:t>策略</w:t>
            </w:r>
            <w:r>
              <w:rPr>
                <w:rFonts w:hint="eastAsia" w:ascii="Times New Roman" w:hAnsi="Times New Roman" w:eastAsia="宋体" w:cs="Times New Roman"/>
                <w:kern w:val="2"/>
                <w:sz w:val="18"/>
                <w:szCs w:val="18"/>
                <w:lang w:val="en-US" w:eastAsia="zh-CN" w:bidi="ar-SA"/>
              </w:rPr>
              <w:t>策中</w:t>
            </w:r>
          </w:p>
          <w:p w14:paraId="68B1A23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文件版权、设计权、商标、专利和源代码许可证的处理</w:t>
            </w:r>
            <w:r>
              <w:rPr>
                <w:rFonts w:hint="eastAsia" w:cs="Times New Roman"/>
                <w:kern w:val="2"/>
                <w:sz w:val="18"/>
                <w:szCs w:val="18"/>
                <w:lang w:val="en-US" w:eastAsia="zh-CN" w:bidi="ar-SA"/>
              </w:rPr>
              <w:t>规程以及</w:t>
            </w:r>
            <w:r>
              <w:rPr>
                <w:rFonts w:hint="eastAsia" w:ascii="Times New Roman" w:hAnsi="Times New Roman" w:eastAsia="宋体" w:cs="Times New Roman"/>
                <w:kern w:val="2"/>
                <w:sz w:val="18"/>
                <w:szCs w:val="18"/>
                <w:lang w:val="en-US" w:eastAsia="zh-CN" w:bidi="ar-SA"/>
              </w:rPr>
              <w:t>相应</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清单</w:t>
            </w:r>
          </w:p>
        </w:tc>
      </w:tr>
      <w:tr w14:paraId="0629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6A065B52">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5.33 记录的保护</w:t>
            </w:r>
          </w:p>
        </w:tc>
        <w:tc>
          <w:tcPr>
            <w:tcW w:w="807" w:type="dxa"/>
            <w:tcBorders>
              <w:tl2br w:val="nil"/>
              <w:tr2bl w:val="nil"/>
            </w:tcBorders>
            <w:vAlign w:val="top"/>
          </w:tcPr>
          <w:p w14:paraId="1BB7CEB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1220250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4E6C065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与适用的法律、法规和合同要求相关的记录管理规则，例如在特定主题</w:t>
            </w:r>
            <w:r>
              <w:rPr>
                <w:rFonts w:hint="eastAsia" w:cs="Times New Roman"/>
                <w:kern w:val="2"/>
                <w:sz w:val="18"/>
                <w:szCs w:val="18"/>
                <w:lang w:val="en-US" w:eastAsia="zh-CN" w:bidi="ar-SA"/>
              </w:rPr>
              <w:t>策略</w:t>
            </w:r>
            <w:r>
              <w:rPr>
                <w:rFonts w:hint="eastAsia" w:ascii="Times New Roman" w:hAnsi="Times New Roman" w:eastAsia="宋体" w:cs="Times New Roman"/>
                <w:kern w:val="2"/>
                <w:sz w:val="18"/>
                <w:szCs w:val="18"/>
                <w:lang w:val="en-US" w:eastAsia="zh-CN" w:bidi="ar-SA"/>
              </w:rPr>
              <w:t>中</w:t>
            </w:r>
          </w:p>
          <w:p w14:paraId="57956B7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关于存储、</w:t>
            </w:r>
            <w:r>
              <w:rPr>
                <w:rFonts w:hint="eastAsia" w:cs="Times New Roman"/>
                <w:kern w:val="2"/>
                <w:sz w:val="18"/>
                <w:szCs w:val="18"/>
                <w:lang w:val="en-US" w:eastAsia="zh-CN" w:bidi="ar-SA"/>
              </w:rPr>
              <w:t>处理、</w:t>
            </w:r>
            <w:r>
              <w:rPr>
                <w:rFonts w:hint="eastAsia" w:ascii="Times New Roman" w:hAnsi="Times New Roman" w:eastAsia="宋体" w:cs="Times New Roman"/>
                <w:kern w:val="2"/>
                <w:sz w:val="18"/>
                <w:szCs w:val="18"/>
                <w:lang w:val="en-US" w:eastAsia="zh-CN" w:bidi="ar-SA"/>
              </w:rPr>
              <w:t>保管</w:t>
            </w:r>
            <w:r>
              <w:rPr>
                <w:rFonts w:hint="eastAsia" w:cs="Times New Roman"/>
                <w:kern w:val="2"/>
                <w:sz w:val="18"/>
                <w:szCs w:val="18"/>
                <w:lang w:val="en-US" w:eastAsia="zh-CN" w:bidi="ar-SA"/>
              </w:rPr>
              <w:t>链</w:t>
            </w:r>
            <w:r>
              <w:rPr>
                <w:rFonts w:hint="eastAsia" w:ascii="Times New Roman" w:hAnsi="Times New Roman" w:eastAsia="宋体" w:cs="Times New Roman"/>
                <w:kern w:val="2"/>
                <w:sz w:val="18"/>
                <w:szCs w:val="18"/>
                <w:lang w:val="en-US" w:eastAsia="zh-CN" w:bidi="ar-SA"/>
              </w:rPr>
              <w:t>、保留和处置记录的</w:t>
            </w:r>
            <w:r>
              <w:rPr>
                <w:rFonts w:hint="eastAsia" w:cs="Times New Roman"/>
                <w:kern w:val="2"/>
                <w:sz w:val="18"/>
                <w:szCs w:val="18"/>
                <w:lang w:val="en-US" w:eastAsia="zh-CN" w:bidi="ar-SA"/>
              </w:rPr>
              <w:t>规程</w:t>
            </w:r>
          </w:p>
          <w:p w14:paraId="36C5BA1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数据存储系统</w:t>
            </w:r>
            <w:r>
              <w:rPr>
                <w:rFonts w:hint="eastAsia" w:cs="Times New Roman"/>
                <w:kern w:val="2"/>
                <w:sz w:val="18"/>
                <w:szCs w:val="18"/>
                <w:lang w:val="en-US" w:eastAsia="zh-CN" w:bidi="ar-SA"/>
              </w:rPr>
              <w:t>的配置能</w:t>
            </w:r>
            <w:r>
              <w:rPr>
                <w:rFonts w:hint="eastAsia" w:ascii="Times New Roman" w:hAnsi="Times New Roman" w:eastAsia="宋体" w:cs="Times New Roman"/>
                <w:kern w:val="2"/>
                <w:sz w:val="18"/>
                <w:szCs w:val="18"/>
                <w:lang w:val="en-US" w:eastAsia="zh-CN" w:bidi="ar-SA"/>
              </w:rPr>
              <w:t>满足记录管理的要求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，保护</w:t>
            </w:r>
            <w:r>
              <w:rPr>
                <w:rFonts w:hint="eastAsia"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保存</w:t>
            </w:r>
            <w:r>
              <w:rPr>
                <w:rFonts w:hint="eastAsia" w:ascii="Times New Roman" w:hAnsi="Times New Roman" w:eastAsia="宋体" w:cs="Times New Roman"/>
                <w:kern w:val="2"/>
                <w:sz w:val="18"/>
                <w:szCs w:val="18"/>
                <w:lang w:val="en-US" w:eastAsia="zh-CN" w:bidi="ar-SA"/>
              </w:rPr>
              <w:t>)</w:t>
            </w:r>
          </w:p>
        </w:tc>
      </w:tr>
      <w:tr w14:paraId="781E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0D14D7A">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5.34 隐私和个人可识别信息保护</w:t>
            </w:r>
          </w:p>
        </w:tc>
        <w:tc>
          <w:tcPr>
            <w:tcW w:w="807" w:type="dxa"/>
            <w:tcBorders>
              <w:tl2br w:val="nil"/>
              <w:tr2bl w:val="nil"/>
            </w:tcBorders>
            <w:vAlign w:val="top"/>
          </w:tcPr>
          <w:p w14:paraId="01F5169B">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76A8D16C">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197350D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个人</w:t>
            </w:r>
            <w:r>
              <w:rPr>
                <w:rFonts w:hint="eastAsia" w:cs="Times New Roman"/>
                <w:kern w:val="2"/>
                <w:sz w:val="18"/>
                <w:szCs w:val="18"/>
                <w:lang w:val="en-US" w:eastAsia="zh-CN" w:bidi="ar-SA"/>
              </w:rPr>
              <w:t>可识别</w:t>
            </w:r>
            <w:r>
              <w:rPr>
                <w:rFonts w:hint="eastAsia" w:ascii="Times New Roman" w:hAnsi="Times New Roman" w:eastAsia="宋体" w:cs="Times New Roman"/>
                <w:kern w:val="2"/>
                <w:sz w:val="18"/>
                <w:szCs w:val="18"/>
                <w:lang w:val="en-US" w:eastAsia="zh-CN" w:bidi="ar-SA"/>
              </w:rPr>
              <w:t>信息</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PII</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处理规则，例如</w:t>
            </w:r>
            <w:r>
              <w:rPr>
                <w:rFonts w:hint="eastAsia" w:cs="Times New Roman"/>
                <w:kern w:val="2"/>
                <w:sz w:val="18"/>
                <w:szCs w:val="18"/>
                <w:lang w:val="en-US" w:eastAsia="zh-CN" w:bidi="ar-SA"/>
              </w:rPr>
              <w:t>，在特定主题策略中</w:t>
            </w:r>
          </w:p>
          <w:p w14:paraId="2C7626F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组织</w:t>
            </w:r>
            <w:r>
              <w:rPr>
                <w:rFonts w:hint="eastAsia" w:cs="Times New Roman"/>
                <w:kern w:val="2"/>
                <w:sz w:val="18"/>
                <w:szCs w:val="18"/>
                <w:lang w:val="en-US" w:eastAsia="zh-CN" w:bidi="ar-SA"/>
              </w:rPr>
              <w:t>在其</w:t>
            </w:r>
            <w:r>
              <w:rPr>
                <w:rFonts w:hint="eastAsia" w:ascii="Times New Roman" w:hAnsi="Times New Roman" w:eastAsia="宋体" w:cs="Times New Roman"/>
                <w:kern w:val="2"/>
                <w:sz w:val="18"/>
                <w:szCs w:val="18"/>
                <w:lang w:val="en-US" w:eastAsia="zh-CN" w:bidi="ar-SA"/>
              </w:rPr>
              <w:t>开展业务或使用</w:t>
            </w:r>
            <w:r>
              <w:rPr>
                <w:rFonts w:hint="eastAsia" w:cs="Times New Roman"/>
                <w:kern w:val="2"/>
                <w:sz w:val="18"/>
                <w:szCs w:val="18"/>
                <w:lang w:val="en-US" w:eastAsia="zh-CN" w:bidi="ar-SA"/>
              </w:rPr>
              <w:t>其</w:t>
            </w:r>
            <w:r>
              <w:rPr>
                <w:rFonts w:hint="eastAsia" w:ascii="Times New Roman" w:hAnsi="Times New Roman" w:eastAsia="宋体" w:cs="Times New Roman"/>
                <w:kern w:val="2"/>
                <w:sz w:val="18"/>
                <w:szCs w:val="18"/>
                <w:lang w:val="en-US" w:eastAsia="zh-CN" w:bidi="ar-SA"/>
              </w:rPr>
              <w:t>产品和服务</w:t>
            </w:r>
            <w:r>
              <w:rPr>
                <w:rFonts w:hint="eastAsia" w:cs="Times New Roman"/>
                <w:kern w:val="2"/>
                <w:sz w:val="18"/>
                <w:szCs w:val="18"/>
                <w:lang w:val="en-US" w:eastAsia="zh-CN" w:bidi="ar-SA"/>
              </w:rPr>
              <w:t>[这些产品和服务</w:t>
            </w:r>
            <w:r>
              <w:rPr>
                <w:rFonts w:hint="eastAsia" w:ascii="Times New Roman" w:hAnsi="Times New Roman" w:eastAsia="宋体" w:cs="Times New Roman"/>
                <w:kern w:val="2"/>
                <w:sz w:val="18"/>
                <w:szCs w:val="18"/>
                <w:lang w:val="en-US" w:eastAsia="zh-CN" w:bidi="ar-SA"/>
              </w:rPr>
              <w:t>可能影响隐私和个人</w:t>
            </w:r>
            <w:r>
              <w:rPr>
                <w:rFonts w:hint="eastAsia" w:cs="Times New Roman"/>
                <w:kern w:val="2"/>
                <w:sz w:val="18"/>
                <w:szCs w:val="18"/>
                <w:lang w:val="en-US" w:eastAsia="zh-CN" w:bidi="ar-SA"/>
              </w:rPr>
              <w:t>可识别</w:t>
            </w:r>
            <w:r>
              <w:rPr>
                <w:rFonts w:hint="eastAsia" w:ascii="Times New Roman" w:hAnsi="Times New Roman" w:eastAsia="宋体" w:cs="Times New Roman"/>
                <w:kern w:val="2"/>
                <w:sz w:val="18"/>
                <w:szCs w:val="18"/>
                <w:lang w:val="en-US" w:eastAsia="zh-CN" w:bidi="ar-SA"/>
              </w:rPr>
              <w:t>信息</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PII</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保护</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的相关</w:t>
            </w:r>
            <w:r>
              <w:rPr>
                <w:rFonts w:hint="eastAsia" w:cs="Times New Roman"/>
                <w:kern w:val="2"/>
                <w:sz w:val="18"/>
                <w:szCs w:val="18"/>
                <w:lang w:val="en-US" w:eastAsia="zh-CN" w:bidi="ar-SA"/>
              </w:rPr>
              <w:t>国家的</w:t>
            </w:r>
            <w:r>
              <w:rPr>
                <w:rFonts w:hint="eastAsia" w:ascii="Times New Roman" w:hAnsi="Times New Roman" w:eastAsia="宋体" w:cs="Times New Roman"/>
                <w:kern w:val="2"/>
                <w:sz w:val="18"/>
                <w:szCs w:val="18"/>
                <w:lang w:val="en-US" w:eastAsia="zh-CN" w:bidi="ar-SA"/>
              </w:rPr>
              <w:t>列表</w:t>
            </w:r>
          </w:p>
          <w:p w14:paraId="1EF2F64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所识别</w:t>
            </w:r>
            <w:r>
              <w:rPr>
                <w:rFonts w:hint="eastAsia" w:ascii="Times New Roman" w:hAnsi="Times New Roman" w:eastAsia="宋体" w:cs="Times New Roman"/>
                <w:kern w:val="2"/>
                <w:sz w:val="18"/>
                <w:szCs w:val="18"/>
                <w:lang w:val="en-US" w:eastAsia="zh-CN" w:bidi="ar-SA"/>
              </w:rPr>
              <w:t>的外部要求，包括隐私和个人</w:t>
            </w:r>
            <w:r>
              <w:rPr>
                <w:rFonts w:hint="eastAsia" w:cs="Times New Roman"/>
                <w:kern w:val="2"/>
                <w:sz w:val="18"/>
                <w:szCs w:val="18"/>
                <w:lang w:val="en-US" w:eastAsia="zh-CN" w:bidi="ar-SA"/>
              </w:rPr>
              <w:t>可识别</w:t>
            </w:r>
            <w:r>
              <w:rPr>
                <w:rFonts w:hint="eastAsia" w:ascii="Times New Roman" w:hAnsi="Times New Roman" w:eastAsia="宋体" w:cs="Times New Roman"/>
                <w:kern w:val="2"/>
                <w:sz w:val="18"/>
                <w:szCs w:val="18"/>
                <w:lang w:val="en-US" w:eastAsia="zh-CN" w:bidi="ar-SA"/>
              </w:rPr>
              <w:t>信息</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PII</w:t>
            </w:r>
            <w:r>
              <w:rPr>
                <w:rFonts w:hint="eastAsia" w:cs="Times New Roman"/>
                <w:kern w:val="2"/>
                <w:sz w:val="18"/>
                <w:szCs w:val="18"/>
                <w:lang w:val="en-US" w:eastAsia="zh-CN" w:bidi="ar-SA"/>
              </w:rPr>
              <w:t>）保护</w:t>
            </w:r>
            <w:r>
              <w:rPr>
                <w:rFonts w:hint="eastAsia" w:ascii="Times New Roman" w:hAnsi="Times New Roman" w:eastAsia="宋体" w:cs="Times New Roman"/>
                <w:kern w:val="2"/>
                <w:sz w:val="18"/>
                <w:szCs w:val="18"/>
                <w:lang w:val="en-US" w:eastAsia="zh-CN" w:bidi="ar-SA"/>
              </w:rPr>
              <w:t>的法律、法规或合同要求</w:t>
            </w:r>
          </w:p>
          <w:p w14:paraId="2035114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个人</w:t>
            </w:r>
            <w:r>
              <w:rPr>
                <w:rFonts w:hint="eastAsia" w:cs="Times New Roman"/>
                <w:kern w:val="2"/>
                <w:sz w:val="18"/>
                <w:szCs w:val="18"/>
                <w:lang w:val="en-US" w:eastAsia="zh-CN" w:bidi="ar-SA"/>
              </w:rPr>
              <w:t>可识别</w:t>
            </w:r>
            <w:r>
              <w:rPr>
                <w:rFonts w:hint="eastAsia" w:ascii="Times New Roman" w:hAnsi="Times New Roman" w:eastAsia="宋体" w:cs="Times New Roman"/>
                <w:kern w:val="2"/>
                <w:sz w:val="18"/>
                <w:szCs w:val="18"/>
                <w:lang w:val="en-US" w:eastAsia="zh-CN" w:bidi="ar-SA"/>
              </w:rPr>
              <w:t>信息</w:t>
            </w:r>
            <w:r>
              <w:rPr>
                <w:rFonts w:hint="eastAsia" w:cs="Times New Roman"/>
                <w:kern w:val="2"/>
                <w:sz w:val="18"/>
                <w:szCs w:val="18"/>
                <w:lang w:val="en-US" w:eastAsia="zh-CN" w:bidi="ar-SA"/>
              </w:rPr>
              <w:t>（PII）处理者的分析显示</w:t>
            </w:r>
            <w:r>
              <w:rPr>
                <w:rFonts w:hint="eastAsia" w:ascii="Times New Roman" w:hAnsi="Times New Roman" w:eastAsia="宋体" w:cs="Times New Roman"/>
                <w:kern w:val="2"/>
                <w:sz w:val="18"/>
                <w:szCs w:val="18"/>
                <w:lang w:val="en-US" w:eastAsia="zh-CN" w:bidi="ar-SA"/>
              </w:rPr>
              <w:t>通过适当的技术</w:t>
            </w:r>
            <w:r>
              <w:rPr>
                <w:rFonts w:hint="eastAsia" w:cs="Times New Roman"/>
                <w:kern w:val="2"/>
                <w:sz w:val="18"/>
                <w:szCs w:val="18"/>
                <w:lang w:val="en-US" w:eastAsia="zh-CN" w:bidi="ar-SA"/>
              </w:rPr>
              <w:t>措施</w:t>
            </w:r>
            <w:r>
              <w:rPr>
                <w:rFonts w:hint="eastAsia" w:ascii="Times New Roman" w:hAnsi="Times New Roman" w:eastAsia="宋体" w:cs="Times New Roman"/>
                <w:kern w:val="2"/>
                <w:sz w:val="18"/>
                <w:szCs w:val="18"/>
                <w:lang w:val="en-US" w:eastAsia="zh-CN" w:bidi="ar-SA"/>
              </w:rPr>
              <w:t>和组织措施满足了</w:t>
            </w:r>
            <w:r>
              <w:rPr>
                <w:rFonts w:hint="eastAsia" w:cs="Times New Roman"/>
                <w:kern w:val="2"/>
                <w:sz w:val="18"/>
                <w:szCs w:val="18"/>
                <w:lang w:val="en-US" w:eastAsia="zh-CN" w:bidi="ar-SA"/>
              </w:rPr>
              <w:t>要求</w:t>
            </w:r>
          </w:p>
        </w:tc>
      </w:tr>
      <w:tr w14:paraId="7077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3D3EF9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5.35 信息安全的独立评审</w:t>
            </w:r>
          </w:p>
        </w:tc>
        <w:tc>
          <w:tcPr>
            <w:tcW w:w="807" w:type="dxa"/>
            <w:tcBorders>
              <w:tl2br w:val="nil"/>
              <w:tr2bl w:val="nil"/>
            </w:tcBorders>
            <w:vAlign w:val="top"/>
          </w:tcPr>
          <w:p w14:paraId="1820795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50F7FA3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19355E5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信息安全独立</w:t>
            </w:r>
            <w:r>
              <w:rPr>
                <w:rFonts w:hint="eastAsia" w:cs="Times New Roman"/>
                <w:kern w:val="2"/>
                <w:sz w:val="18"/>
                <w:szCs w:val="18"/>
                <w:lang w:val="en-US" w:eastAsia="zh-CN" w:bidi="ar-SA"/>
              </w:rPr>
              <w:t>评审的实施</w:t>
            </w:r>
            <w:r>
              <w:rPr>
                <w:rFonts w:hint="eastAsia" w:ascii="Times New Roman" w:hAnsi="Times New Roman" w:eastAsia="宋体" w:cs="Times New Roman"/>
                <w:kern w:val="2"/>
                <w:sz w:val="18"/>
                <w:szCs w:val="18"/>
                <w:lang w:val="en-US" w:eastAsia="zh-CN" w:bidi="ar-SA"/>
              </w:rPr>
              <w:t>计划</w:t>
            </w:r>
          </w:p>
          <w:p w14:paraId="7146E11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向最高管理</w:t>
            </w:r>
            <w:r>
              <w:rPr>
                <w:rFonts w:hint="eastAsia" w:cs="Times New Roman"/>
                <w:kern w:val="2"/>
                <w:sz w:val="18"/>
                <w:szCs w:val="18"/>
                <w:lang w:val="en-US" w:eastAsia="zh-CN" w:bidi="ar-SA"/>
              </w:rPr>
              <w:t>层</w:t>
            </w:r>
            <w:r>
              <w:rPr>
                <w:rFonts w:hint="eastAsia" w:ascii="Times New Roman" w:hAnsi="Times New Roman" w:eastAsia="宋体" w:cs="Times New Roman"/>
                <w:kern w:val="2"/>
                <w:sz w:val="18"/>
                <w:szCs w:val="18"/>
                <w:lang w:val="en-US" w:eastAsia="zh-CN" w:bidi="ar-SA"/>
              </w:rPr>
              <w:t>报告独立评审的结果</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样本</w:t>
            </w:r>
            <w:r>
              <w:rPr>
                <w:rFonts w:hint="eastAsia" w:cs="Times New Roman"/>
                <w:kern w:val="2"/>
                <w:sz w:val="18"/>
                <w:szCs w:val="18"/>
                <w:lang w:val="en-US" w:eastAsia="zh-CN" w:bidi="ar-SA"/>
              </w:rPr>
              <w:t>）</w:t>
            </w:r>
          </w:p>
          <w:p w14:paraId="796E803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发现组织管理信息安全的方法不</w:t>
            </w:r>
            <w:r>
              <w:rPr>
                <w:rFonts w:hint="eastAsia" w:cs="Times New Roman"/>
                <w:kern w:val="2"/>
                <w:sz w:val="18"/>
                <w:szCs w:val="18"/>
                <w:lang w:val="en-US" w:eastAsia="zh-CN" w:bidi="ar-SA"/>
              </w:rPr>
              <w:t>充分</w:t>
            </w:r>
            <w:r>
              <w:rPr>
                <w:rFonts w:hint="eastAsia" w:ascii="Times New Roman" w:hAnsi="Times New Roman" w:eastAsia="宋体" w:cs="Times New Roman"/>
                <w:kern w:val="2"/>
                <w:sz w:val="18"/>
                <w:szCs w:val="18"/>
                <w:lang w:val="en-US" w:eastAsia="zh-CN" w:bidi="ar-SA"/>
              </w:rPr>
              <w:t>时</w:t>
            </w:r>
            <w:r>
              <w:rPr>
                <w:rFonts w:hint="eastAsia" w:cs="Times New Roman"/>
                <w:kern w:val="2"/>
                <w:sz w:val="18"/>
                <w:szCs w:val="18"/>
                <w:lang w:val="en-US" w:eastAsia="zh-CN" w:bidi="ar-SA"/>
              </w:rPr>
              <w:t>，所</w:t>
            </w:r>
            <w:r>
              <w:rPr>
                <w:rFonts w:hint="eastAsia" w:ascii="Times New Roman" w:hAnsi="Times New Roman" w:eastAsia="宋体" w:cs="Times New Roman"/>
                <w:kern w:val="2"/>
                <w:sz w:val="18"/>
                <w:szCs w:val="18"/>
                <w:lang w:val="en-US" w:eastAsia="zh-CN" w:bidi="ar-SA"/>
              </w:rPr>
              <w:t>采取的纠正措施</w:t>
            </w:r>
          </w:p>
        </w:tc>
      </w:tr>
      <w:tr w14:paraId="576E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4CE6D2CA">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5.36 符合信息安全的策略、规则和标准</w:t>
            </w:r>
          </w:p>
        </w:tc>
        <w:tc>
          <w:tcPr>
            <w:tcW w:w="807" w:type="dxa"/>
            <w:tcBorders>
              <w:tl2br w:val="nil"/>
              <w:tr2bl w:val="nil"/>
            </w:tcBorders>
            <w:vAlign w:val="top"/>
          </w:tcPr>
          <w:p w14:paraId="18A9DD82">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42247C6F">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5D847A2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评审</w:t>
            </w:r>
            <w:r>
              <w:rPr>
                <w:rFonts w:hint="eastAsia" w:ascii="Times New Roman" w:hAnsi="Times New Roman" w:eastAsia="宋体" w:cs="Times New Roman"/>
                <w:kern w:val="2"/>
                <w:sz w:val="18"/>
                <w:szCs w:val="18"/>
                <w:lang w:val="en-US" w:eastAsia="zh-CN" w:bidi="ar-SA"/>
              </w:rPr>
              <w:t>组织遵守信息安全</w:t>
            </w:r>
            <w:r>
              <w:rPr>
                <w:rFonts w:hint="eastAsia" w:cs="Times New Roman"/>
                <w:kern w:val="2"/>
                <w:sz w:val="18"/>
                <w:szCs w:val="18"/>
                <w:lang w:val="en-US" w:eastAsia="zh-CN" w:bidi="ar-SA"/>
              </w:rPr>
              <w:t>方针</w:t>
            </w:r>
            <w:r>
              <w:rPr>
                <w:rFonts w:hint="eastAsia" w:ascii="Times New Roman" w:hAnsi="Times New Roman" w:eastAsia="宋体" w:cs="Times New Roman"/>
                <w:kern w:val="2"/>
                <w:sz w:val="18"/>
                <w:szCs w:val="18"/>
                <w:lang w:val="en-US" w:eastAsia="zh-CN" w:bidi="ar-SA"/>
              </w:rPr>
              <w:t>、特定主题</w:t>
            </w:r>
            <w:r>
              <w:rPr>
                <w:rFonts w:hint="eastAsia" w:cs="Times New Roman"/>
                <w:kern w:val="2"/>
                <w:sz w:val="18"/>
                <w:szCs w:val="18"/>
                <w:lang w:val="en-US" w:eastAsia="zh-CN" w:bidi="ar-SA"/>
              </w:rPr>
              <w:t>策略</w:t>
            </w:r>
            <w:r>
              <w:rPr>
                <w:rFonts w:hint="eastAsia" w:ascii="Times New Roman" w:hAnsi="Times New Roman" w:eastAsia="宋体" w:cs="Times New Roman"/>
                <w:kern w:val="2"/>
                <w:sz w:val="18"/>
                <w:szCs w:val="18"/>
                <w:lang w:val="en-US" w:eastAsia="zh-CN" w:bidi="ar-SA"/>
              </w:rPr>
              <w:t>、规则和标准的计划</w:t>
            </w:r>
          </w:p>
          <w:p w14:paraId="1AB349E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评审结果</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样本</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和所采取的纠正措施</w:t>
            </w:r>
          </w:p>
        </w:tc>
      </w:tr>
      <w:tr w14:paraId="1396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4F17472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5.37 文件化的操作规程</w:t>
            </w:r>
          </w:p>
        </w:tc>
        <w:tc>
          <w:tcPr>
            <w:tcW w:w="807" w:type="dxa"/>
            <w:tcBorders>
              <w:tl2br w:val="nil"/>
              <w:tr2bl w:val="nil"/>
            </w:tcBorders>
            <w:vAlign w:val="top"/>
          </w:tcPr>
          <w:p w14:paraId="5ABA14C1">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6F224CB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2F44263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与信息安全有关的信息处理设施</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操作规程</w:t>
            </w:r>
          </w:p>
        </w:tc>
      </w:tr>
      <w:tr w14:paraId="5FF7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A13168D">
            <w:pPr>
              <w:pStyle w:val="265"/>
              <w:autoSpaceDE w:val="0"/>
              <w:autoSpaceDN w:val="0"/>
              <w:adjustRightInd w:val="0"/>
              <w:spacing w:before="0" w:after="0" w:line="240" w:lineRule="auto"/>
              <w:rPr>
                <w:rFonts w:hint="eastAsia" w:ascii="宋体" w:hAnsi="宋体" w:eastAsia="宋体" w:cs="宋体"/>
                <w:b/>
                <w:szCs w:val="18"/>
              </w:rPr>
            </w:pPr>
            <w:r>
              <w:rPr>
                <w:rFonts w:hint="eastAsia" w:ascii="宋体" w:hAnsi="宋体" w:eastAsia="宋体" w:cs="宋体"/>
                <w:color w:val="000000"/>
                <w:sz w:val="18"/>
                <w:szCs w:val="18"/>
              </w:rPr>
              <w:t>6 人员控制</w:t>
            </w:r>
          </w:p>
        </w:tc>
        <w:tc>
          <w:tcPr>
            <w:tcW w:w="807" w:type="dxa"/>
            <w:tcBorders>
              <w:tl2br w:val="nil"/>
              <w:tr2bl w:val="nil"/>
            </w:tcBorders>
            <w:vAlign w:val="top"/>
          </w:tcPr>
          <w:p w14:paraId="6758DB29">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07D324C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53C71AF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w:t>
            </w:r>
          </w:p>
        </w:tc>
      </w:tr>
      <w:tr w14:paraId="0428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6067C82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6.1 审查</w:t>
            </w:r>
          </w:p>
        </w:tc>
        <w:tc>
          <w:tcPr>
            <w:tcW w:w="807" w:type="dxa"/>
            <w:tcBorders>
              <w:tl2br w:val="nil"/>
              <w:tr2bl w:val="nil"/>
            </w:tcBorders>
            <w:vAlign w:val="top"/>
          </w:tcPr>
          <w:p w14:paraId="38AF1FB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57850C07">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76F779C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背景调查的规则和</w:t>
            </w:r>
            <w:r>
              <w:rPr>
                <w:rFonts w:hint="eastAsia" w:cs="Times New Roman"/>
                <w:kern w:val="2"/>
                <w:sz w:val="18"/>
                <w:szCs w:val="18"/>
                <w:lang w:val="en-US" w:eastAsia="zh-CN" w:bidi="ar-SA"/>
              </w:rPr>
              <w:t>过程</w:t>
            </w:r>
            <w:r>
              <w:rPr>
                <w:rFonts w:hint="eastAsia" w:ascii="Times New Roman" w:hAnsi="Times New Roman" w:eastAsia="宋体" w:cs="Times New Roman"/>
                <w:kern w:val="2"/>
                <w:sz w:val="18"/>
                <w:szCs w:val="18"/>
                <w:lang w:val="en-US" w:eastAsia="zh-CN" w:bidi="ar-SA"/>
              </w:rPr>
              <w:t>，考虑</w:t>
            </w:r>
            <w:r>
              <w:rPr>
                <w:rFonts w:hint="eastAsia" w:cs="Times New Roman"/>
                <w:kern w:val="2"/>
                <w:sz w:val="18"/>
                <w:szCs w:val="18"/>
                <w:lang w:val="en-US" w:eastAsia="zh-CN" w:bidi="ar-SA"/>
              </w:rPr>
              <w:t>了</w:t>
            </w:r>
            <w:r>
              <w:rPr>
                <w:rFonts w:hint="eastAsia" w:ascii="Times New Roman" w:hAnsi="Times New Roman" w:eastAsia="宋体" w:cs="Times New Roman"/>
                <w:kern w:val="2"/>
                <w:sz w:val="18"/>
                <w:szCs w:val="18"/>
                <w:lang w:val="en-US" w:eastAsia="zh-CN" w:bidi="ar-SA"/>
              </w:rPr>
              <w:t>适用的法律、法规和道德规范</w:t>
            </w:r>
          </w:p>
          <w:p w14:paraId="56A6C3A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对新入职人员进行背景调查</w:t>
            </w:r>
            <w:r>
              <w:rPr>
                <w:rFonts w:hint="eastAsia" w:cs="Times New Roman"/>
                <w:kern w:val="2"/>
                <w:sz w:val="18"/>
                <w:szCs w:val="18"/>
                <w:lang w:val="en-US" w:eastAsia="zh-CN" w:bidi="ar-SA"/>
              </w:rPr>
              <w:t>，适用时包括</w:t>
            </w:r>
            <w:r>
              <w:rPr>
                <w:rFonts w:hint="eastAsia" w:ascii="Times New Roman" w:hAnsi="Times New Roman" w:eastAsia="宋体" w:cs="Times New Roman"/>
                <w:kern w:val="2"/>
                <w:sz w:val="18"/>
                <w:szCs w:val="18"/>
                <w:lang w:val="en-US" w:eastAsia="zh-CN" w:bidi="ar-SA"/>
              </w:rPr>
              <w:t>在职人员</w:t>
            </w:r>
            <w:r>
              <w:rPr>
                <w:rFonts w:hint="eastAsia" w:cs="Times New Roman"/>
                <w:kern w:val="2"/>
                <w:sz w:val="18"/>
                <w:szCs w:val="18"/>
                <w:lang w:val="en-US" w:eastAsia="zh-CN" w:bidi="ar-SA"/>
              </w:rPr>
              <w:t>（例如，职位晋升</w:t>
            </w:r>
            <w:r>
              <w:rPr>
                <w:rFonts w:hint="eastAsia" w:ascii="Times New Roman" w:hAnsi="Times New Roman" w:eastAsia="宋体" w:cs="Times New Roman"/>
                <w:kern w:val="2"/>
                <w:sz w:val="18"/>
                <w:szCs w:val="18"/>
                <w:lang w:val="en-US" w:eastAsia="zh-CN" w:bidi="ar-SA"/>
              </w:rPr>
              <w:t>、敏感</w:t>
            </w:r>
            <w:r>
              <w:rPr>
                <w:rFonts w:hint="eastAsia" w:cs="Times New Roman"/>
                <w:kern w:val="2"/>
                <w:sz w:val="18"/>
                <w:szCs w:val="18"/>
                <w:lang w:val="en-US" w:eastAsia="zh-CN" w:bidi="ar-SA"/>
              </w:rPr>
              <w:t>岗位画像</w:t>
            </w:r>
            <w:r>
              <w:rPr>
                <w:rFonts w:hint="eastAsia" w:ascii="Times New Roman" w:hAnsi="Times New Roman" w:eastAsia="宋体" w:cs="Times New Roman"/>
                <w:kern w:val="2"/>
                <w:sz w:val="18"/>
                <w:szCs w:val="18"/>
                <w:lang w:val="en-US" w:eastAsia="zh-CN" w:bidi="ar-SA"/>
              </w:rPr>
              <w:t>)</w:t>
            </w:r>
          </w:p>
        </w:tc>
      </w:tr>
      <w:tr w14:paraId="7CC7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3E8D1F9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6.2 任用条款和条件</w:t>
            </w:r>
          </w:p>
        </w:tc>
        <w:tc>
          <w:tcPr>
            <w:tcW w:w="807" w:type="dxa"/>
            <w:tcBorders>
              <w:tl2br w:val="nil"/>
              <w:tr2bl w:val="nil"/>
            </w:tcBorders>
            <w:vAlign w:val="top"/>
          </w:tcPr>
          <w:p w14:paraId="784B2CF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1C6325A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5B6903F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与信息安全责任有关的一般规则或一般条款</w:t>
            </w:r>
            <w:r>
              <w:rPr>
                <w:rFonts w:hint="eastAsia" w:cs="Times New Roman"/>
                <w:kern w:val="2"/>
                <w:sz w:val="18"/>
                <w:szCs w:val="18"/>
                <w:lang w:val="en-US" w:eastAsia="zh-CN" w:bidi="ar-SA"/>
              </w:rPr>
              <w:t>和</w:t>
            </w:r>
            <w:r>
              <w:rPr>
                <w:rFonts w:hint="eastAsia" w:ascii="Times New Roman" w:hAnsi="Times New Roman" w:eastAsia="宋体" w:cs="Times New Roman"/>
                <w:kern w:val="2"/>
                <w:sz w:val="18"/>
                <w:szCs w:val="18"/>
                <w:lang w:val="en-US" w:eastAsia="zh-CN" w:bidi="ar-SA"/>
              </w:rPr>
              <w:t>条件，例如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行为</w:t>
            </w:r>
            <w:r>
              <w:rPr>
                <w:rFonts w:hint="eastAsia" w:cs="Times New Roman"/>
                <w:kern w:val="2"/>
                <w:sz w:val="18"/>
                <w:szCs w:val="18"/>
                <w:lang w:val="en-US" w:eastAsia="zh-CN" w:bidi="ar-SA"/>
              </w:rPr>
              <w:t>准则</w:t>
            </w:r>
          </w:p>
          <w:p w14:paraId="730B39A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工作</w:t>
            </w:r>
            <w:r>
              <w:rPr>
                <w:rFonts w:hint="eastAsia" w:ascii="Times New Roman" w:hAnsi="Times New Roman" w:eastAsia="宋体" w:cs="Times New Roman"/>
                <w:kern w:val="2"/>
                <w:sz w:val="18"/>
                <w:szCs w:val="18"/>
                <w:lang w:val="en-US" w:eastAsia="zh-CN" w:bidi="ar-SA"/>
              </w:rPr>
              <w:t>人员接受有关信息安全的条款和条件</w:t>
            </w:r>
          </w:p>
          <w:p w14:paraId="34F4C9B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担</w:t>
            </w:r>
            <w:r>
              <w:rPr>
                <w:rFonts w:hint="eastAsia" w:cs="Times New Roman"/>
                <w:kern w:val="2"/>
                <w:sz w:val="18"/>
                <w:szCs w:val="18"/>
                <w:lang w:val="en-US" w:eastAsia="zh-CN" w:bidi="ar-SA"/>
              </w:rPr>
              <w:t>任</w:t>
            </w:r>
            <w:r>
              <w:rPr>
                <w:rFonts w:hint="eastAsia" w:ascii="Times New Roman" w:hAnsi="Times New Roman" w:eastAsia="宋体" w:cs="Times New Roman"/>
                <w:kern w:val="2"/>
                <w:sz w:val="18"/>
                <w:szCs w:val="18"/>
                <w:lang w:val="en-US" w:eastAsia="zh-CN" w:bidi="ar-SA"/>
              </w:rPr>
              <w:t>关键角色</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，可访问</w:t>
            </w:r>
            <w:r>
              <w:rPr>
                <w:rFonts w:hint="eastAsia" w:ascii="Times New Roman" w:hAnsi="Times New Roman" w:eastAsia="宋体" w:cs="Times New Roman"/>
                <w:kern w:val="2"/>
                <w:sz w:val="18"/>
                <w:szCs w:val="18"/>
                <w:lang w:val="en-US" w:eastAsia="zh-CN" w:bidi="ar-SA"/>
              </w:rPr>
              <w:t>敏感资料或</w:t>
            </w:r>
            <w:r>
              <w:rPr>
                <w:rFonts w:hint="eastAsia" w:cs="Times New Roman"/>
                <w:kern w:val="2"/>
                <w:sz w:val="18"/>
                <w:szCs w:val="18"/>
                <w:lang w:val="en-US" w:eastAsia="zh-CN" w:bidi="ar-SA"/>
              </w:rPr>
              <w:t>可特许访问</w:t>
            </w:r>
            <w:r>
              <w:rPr>
                <w:rFonts w:hint="eastAsia" w:ascii="Times New Roman" w:hAnsi="Times New Roman" w:eastAsia="宋体" w:cs="Times New Roman"/>
                <w:kern w:val="2"/>
                <w:sz w:val="18"/>
                <w:szCs w:val="18"/>
                <w:lang w:val="en-US" w:eastAsia="zh-CN" w:bidi="ar-SA"/>
              </w:rPr>
              <w:t>系统</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的人员同意的特定</w:t>
            </w:r>
            <w:r>
              <w:rPr>
                <w:rFonts w:hint="eastAsia" w:cs="Times New Roman"/>
                <w:kern w:val="2"/>
                <w:sz w:val="18"/>
                <w:szCs w:val="18"/>
                <w:lang w:val="en-US" w:eastAsia="zh-CN" w:bidi="ar-SA"/>
              </w:rPr>
              <w:t>信息安全</w:t>
            </w:r>
            <w:r>
              <w:rPr>
                <w:rFonts w:hint="eastAsia" w:ascii="Times New Roman" w:hAnsi="Times New Roman" w:eastAsia="宋体" w:cs="Times New Roman"/>
                <w:kern w:val="2"/>
                <w:sz w:val="18"/>
                <w:szCs w:val="18"/>
                <w:lang w:val="en-US" w:eastAsia="zh-CN" w:bidi="ar-SA"/>
              </w:rPr>
              <w:t>责任</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样本</w:t>
            </w:r>
          </w:p>
        </w:tc>
      </w:tr>
      <w:tr w14:paraId="4F1B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CE062DC">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6.3 信息安全意识、教育和培训</w:t>
            </w:r>
          </w:p>
        </w:tc>
        <w:tc>
          <w:tcPr>
            <w:tcW w:w="807" w:type="dxa"/>
            <w:tcBorders>
              <w:tl2br w:val="nil"/>
              <w:tr2bl w:val="nil"/>
            </w:tcBorders>
            <w:vAlign w:val="top"/>
          </w:tcPr>
          <w:p w14:paraId="294BE80B">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31EEB031">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138D6994">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信息安全意识、教育</w:t>
            </w:r>
            <w:r>
              <w:rPr>
                <w:rFonts w:hint="eastAsia" w:cs="Times New Roman"/>
                <w:kern w:val="2"/>
                <w:sz w:val="18"/>
                <w:szCs w:val="18"/>
                <w:lang w:val="en-US" w:eastAsia="zh-CN" w:bidi="ar-SA"/>
              </w:rPr>
              <w:t>和</w:t>
            </w:r>
            <w:r>
              <w:rPr>
                <w:rFonts w:hint="eastAsia" w:ascii="Times New Roman" w:hAnsi="Times New Roman" w:eastAsia="宋体" w:cs="Times New Roman"/>
                <w:kern w:val="2"/>
                <w:sz w:val="18"/>
                <w:szCs w:val="18"/>
                <w:lang w:val="en-US" w:eastAsia="zh-CN" w:bidi="ar-SA"/>
              </w:rPr>
              <w:t>培训</w:t>
            </w:r>
            <w:r>
              <w:rPr>
                <w:rFonts w:hint="eastAsia" w:cs="Times New Roman"/>
                <w:kern w:val="2"/>
                <w:sz w:val="18"/>
                <w:szCs w:val="18"/>
                <w:lang w:val="en-US" w:eastAsia="zh-CN" w:bidi="ar-SA"/>
              </w:rPr>
              <w:t>方案</w:t>
            </w:r>
            <w:r>
              <w:rPr>
                <w:rFonts w:hint="eastAsia" w:ascii="Times New Roman" w:hAnsi="Times New Roman" w:eastAsia="宋体" w:cs="Times New Roman"/>
                <w:kern w:val="2"/>
                <w:sz w:val="18"/>
                <w:szCs w:val="18"/>
                <w:lang w:val="en-US" w:eastAsia="zh-CN" w:bidi="ar-SA"/>
              </w:rPr>
              <w:t>，包括针对重要目标群体的具体内容</w:t>
            </w:r>
          </w:p>
          <w:p w14:paraId="7340A6A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信息安全培训</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出勤名单</w:t>
            </w:r>
          </w:p>
          <w:p w14:paraId="49579AB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与选取的</w:t>
            </w:r>
            <w:r>
              <w:rPr>
                <w:rFonts w:hint="eastAsia" w:ascii="Times New Roman" w:hAnsi="Times New Roman" w:eastAsia="宋体" w:cs="Times New Roman"/>
                <w:kern w:val="2"/>
                <w:sz w:val="18"/>
                <w:szCs w:val="18"/>
                <w:lang w:val="en-US" w:eastAsia="zh-CN" w:bidi="ar-SA"/>
              </w:rPr>
              <w:t>参会者</w:t>
            </w:r>
            <w:r>
              <w:rPr>
                <w:rFonts w:hint="eastAsia" w:cs="Times New Roman"/>
                <w:kern w:val="2"/>
                <w:sz w:val="18"/>
                <w:szCs w:val="18"/>
                <w:lang w:val="en-US" w:eastAsia="zh-CN" w:bidi="ar-SA"/>
              </w:rPr>
              <w:t>就其预期行为进行访谈的结果</w:t>
            </w:r>
          </w:p>
        </w:tc>
      </w:tr>
      <w:tr w14:paraId="152A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649F4E2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6.4 违规处理过程</w:t>
            </w:r>
          </w:p>
        </w:tc>
        <w:tc>
          <w:tcPr>
            <w:tcW w:w="807" w:type="dxa"/>
            <w:tcBorders>
              <w:tl2br w:val="nil"/>
              <w:tr2bl w:val="nil"/>
            </w:tcBorders>
            <w:vAlign w:val="top"/>
          </w:tcPr>
          <w:p w14:paraId="3EC8E18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6F8FB7C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7CAF6DB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正式的纪律处分</w:t>
            </w:r>
            <w:r>
              <w:rPr>
                <w:rFonts w:hint="eastAsia" w:cs="Times New Roman"/>
                <w:kern w:val="2"/>
                <w:sz w:val="18"/>
                <w:szCs w:val="18"/>
                <w:lang w:val="en-US" w:eastAsia="zh-CN" w:bidi="ar-SA"/>
              </w:rPr>
              <w:t>规程</w:t>
            </w:r>
            <w:r>
              <w:rPr>
                <w:rFonts w:hint="eastAsia" w:ascii="Times New Roman" w:hAnsi="Times New Roman" w:eastAsia="宋体" w:cs="Times New Roman"/>
                <w:kern w:val="2"/>
                <w:sz w:val="18"/>
                <w:szCs w:val="18"/>
                <w:lang w:val="en-US" w:eastAsia="zh-CN" w:bidi="ar-SA"/>
              </w:rPr>
              <w:t>，并传达给相关人员和其他相关方</w:t>
            </w:r>
          </w:p>
        </w:tc>
      </w:tr>
      <w:tr w14:paraId="5BFA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63B90AC">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6.5 任用终止或变更后的责任</w:t>
            </w:r>
          </w:p>
        </w:tc>
        <w:tc>
          <w:tcPr>
            <w:tcW w:w="807" w:type="dxa"/>
            <w:tcBorders>
              <w:tl2br w:val="nil"/>
              <w:tr2bl w:val="nil"/>
            </w:tcBorders>
            <w:vAlign w:val="top"/>
          </w:tcPr>
          <w:p w14:paraId="3F967CC3">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329E3D6C">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7A42D52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工作人员</w:t>
            </w:r>
            <w:r>
              <w:rPr>
                <w:rFonts w:hint="eastAsia" w:ascii="Times New Roman" w:hAnsi="Times New Roman" w:eastAsia="宋体" w:cs="Times New Roman"/>
                <w:kern w:val="2"/>
                <w:sz w:val="18"/>
                <w:szCs w:val="18"/>
                <w:lang w:val="en-US" w:eastAsia="zh-CN" w:bidi="ar-SA"/>
              </w:rPr>
              <w:t>签署</w:t>
            </w:r>
            <w:r>
              <w:rPr>
                <w:rFonts w:hint="eastAsia" w:cs="Times New Roman"/>
                <w:kern w:val="2"/>
                <w:sz w:val="18"/>
                <w:szCs w:val="18"/>
                <w:lang w:val="en-US" w:eastAsia="zh-CN" w:bidi="ar-SA"/>
              </w:rPr>
              <w:t>接受在离职或工作变动后仍有效的</w:t>
            </w:r>
            <w:r>
              <w:rPr>
                <w:rFonts w:hint="eastAsia" w:ascii="Times New Roman" w:hAnsi="Times New Roman" w:eastAsia="宋体" w:cs="Times New Roman"/>
                <w:kern w:val="2"/>
                <w:sz w:val="18"/>
                <w:szCs w:val="18"/>
                <w:lang w:val="en-US" w:eastAsia="zh-CN" w:bidi="ar-SA"/>
              </w:rPr>
              <w:t>具体责任和职责</w:t>
            </w:r>
          </w:p>
        </w:tc>
      </w:tr>
      <w:tr w14:paraId="512D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F782AF7">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6.6 保密或不泄露协议</w:t>
            </w:r>
          </w:p>
        </w:tc>
        <w:tc>
          <w:tcPr>
            <w:tcW w:w="807" w:type="dxa"/>
            <w:tcBorders>
              <w:tl2br w:val="nil"/>
              <w:tr2bl w:val="nil"/>
            </w:tcBorders>
            <w:vAlign w:val="top"/>
          </w:tcPr>
          <w:p w14:paraId="105CBD4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1985A9A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478409F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员工和其他相关方签署的保密协议</w:t>
            </w:r>
          </w:p>
        </w:tc>
      </w:tr>
      <w:tr w14:paraId="395D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27D3F9F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6.7 远程工作</w:t>
            </w:r>
          </w:p>
        </w:tc>
        <w:tc>
          <w:tcPr>
            <w:tcW w:w="807" w:type="dxa"/>
            <w:tcBorders>
              <w:tl2br w:val="nil"/>
              <w:tr2bl w:val="nil"/>
            </w:tcBorders>
            <w:vAlign w:val="top"/>
          </w:tcPr>
          <w:p w14:paraId="326353D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3B6612F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628B6C4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关于</w:t>
            </w:r>
            <w:r>
              <w:rPr>
                <w:rFonts w:hint="eastAsia" w:ascii="Times New Roman" w:hAnsi="Times New Roman" w:eastAsia="宋体" w:cs="Times New Roman"/>
                <w:kern w:val="2"/>
                <w:sz w:val="18"/>
                <w:szCs w:val="18"/>
                <w:lang w:val="en-US" w:eastAsia="zh-CN" w:bidi="ar-SA"/>
              </w:rPr>
              <w:t>远程工作</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规则，例如</w:t>
            </w:r>
            <w:r>
              <w:rPr>
                <w:rFonts w:hint="eastAsia" w:cs="Times New Roman"/>
                <w:kern w:val="2"/>
                <w:sz w:val="18"/>
                <w:szCs w:val="18"/>
                <w:lang w:val="en-US" w:eastAsia="zh-CN" w:bidi="ar-SA"/>
              </w:rPr>
              <w:t>，在特定主题策略中</w:t>
            </w:r>
          </w:p>
          <w:p w14:paraId="177C972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物理</w:t>
            </w:r>
            <w:r>
              <w:rPr>
                <w:rFonts w:hint="eastAsia" w:cs="Times New Roman"/>
                <w:kern w:val="2"/>
                <w:sz w:val="18"/>
                <w:szCs w:val="18"/>
                <w:lang w:val="en-US" w:eastAsia="zh-CN" w:bidi="ar-SA"/>
              </w:rPr>
              <w:t>安全措施</w:t>
            </w:r>
            <w:r>
              <w:rPr>
                <w:rFonts w:hint="eastAsia" w:ascii="Times New Roman" w:hAnsi="Times New Roman" w:eastAsia="宋体" w:cs="Times New Roman"/>
                <w:kern w:val="2"/>
                <w:sz w:val="18"/>
                <w:szCs w:val="18"/>
                <w:lang w:val="en-US" w:eastAsia="zh-CN" w:bidi="ar-SA"/>
              </w:rPr>
              <w:t>和通信安全措施的</w:t>
            </w:r>
            <w:r>
              <w:rPr>
                <w:rFonts w:hint="eastAsia" w:cs="Times New Roman"/>
                <w:kern w:val="2"/>
                <w:sz w:val="18"/>
                <w:szCs w:val="18"/>
                <w:lang w:val="en-US" w:eastAsia="zh-CN" w:bidi="ar-SA"/>
              </w:rPr>
              <w:t>样本</w:t>
            </w:r>
          </w:p>
          <w:p w14:paraId="57AD0AA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允许远程使用的安全信息处理设备</w:t>
            </w:r>
            <w:r>
              <w:rPr>
                <w:rFonts w:hint="eastAsia" w:cs="Times New Roman"/>
                <w:kern w:val="2"/>
                <w:sz w:val="18"/>
                <w:szCs w:val="18"/>
                <w:lang w:val="en-US" w:eastAsia="zh-CN" w:bidi="ar-SA"/>
              </w:rPr>
              <w:t>的安排</w:t>
            </w:r>
            <w:r>
              <w:rPr>
                <w:rFonts w:hint="eastAsia"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w:t>
            </w:r>
            <w:r>
              <w:rPr>
                <w:rFonts w:hint="eastAsia"/>
                <w:sz w:val="18"/>
                <w:szCs w:val="18"/>
              </w:rPr>
              <w:t>自携</w:t>
            </w:r>
            <w:r>
              <w:rPr>
                <w:rFonts w:hint="eastAsia" w:ascii="Times New Roman" w:hAnsi="Times New Roman" w:eastAsia="宋体" w:cs="Times New Roman"/>
                <w:kern w:val="2"/>
                <w:sz w:val="18"/>
                <w:szCs w:val="18"/>
                <w:lang w:val="en-US" w:eastAsia="zh-CN" w:bidi="ar-SA"/>
              </w:rPr>
              <w:t>设备”</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BYOD</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，笔记本电脑]</w:t>
            </w:r>
          </w:p>
        </w:tc>
      </w:tr>
      <w:tr w14:paraId="6453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8074BD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6.8 信息安全事态的报告</w:t>
            </w:r>
          </w:p>
        </w:tc>
        <w:tc>
          <w:tcPr>
            <w:tcW w:w="807" w:type="dxa"/>
            <w:tcBorders>
              <w:tl2br w:val="nil"/>
              <w:tr2bl w:val="nil"/>
            </w:tcBorders>
            <w:vAlign w:val="top"/>
          </w:tcPr>
          <w:p w14:paraId="79FC9FC9">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18313DE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7ED4B408">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工作人员发现信息安全事态时的</w:t>
            </w:r>
            <w:r>
              <w:rPr>
                <w:rFonts w:hint="eastAsia" w:ascii="Times New Roman" w:hAnsi="Times New Roman" w:eastAsia="宋体" w:cs="Times New Roman"/>
                <w:kern w:val="2"/>
                <w:sz w:val="18"/>
                <w:szCs w:val="18"/>
                <w:lang w:val="en-US" w:eastAsia="zh-CN" w:bidi="ar-SA"/>
              </w:rPr>
              <w:t>报告机制</w:t>
            </w:r>
          </w:p>
          <w:p w14:paraId="23C60243">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为提高报告信息安全</w:t>
            </w:r>
            <w:r>
              <w:rPr>
                <w:rFonts w:hint="eastAsia" w:cs="Times New Roman"/>
                <w:kern w:val="2"/>
                <w:sz w:val="18"/>
                <w:szCs w:val="18"/>
                <w:lang w:val="en-US" w:eastAsia="zh-CN" w:bidi="ar-SA"/>
              </w:rPr>
              <w:t>事态</w:t>
            </w:r>
            <w:r>
              <w:rPr>
                <w:rFonts w:hint="eastAsia" w:ascii="Times New Roman" w:hAnsi="Times New Roman" w:eastAsia="宋体" w:cs="Times New Roman"/>
                <w:kern w:val="2"/>
                <w:sz w:val="18"/>
                <w:szCs w:val="18"/>
                <w:lang w:val="en-US" w:eastAsia="zh-CN" w:bidi="ar-SA"/>
              </w:rPr>
              <w:t>的意识而提供的</w:t>
            </w:r>
            <w:r>
              <w:rPr>
                <w:rFonts w:hint="eastAsia" w:cs="Times New Roman"/>
                <w:kern w:val="2"/>
                <w:sz w:val="18"/>
                <w:szCs w:val="18"/>
                <w:lang w:val="en-US" w:eastAsia="zh-CN" w:bidi="ar-SA"/>
              </w:rPr>
              <w:t>指导</w:t>
            </w:r>
            <w:r>
              <w:rPr>
                <w:rFonts w:hint="eastAsia" w:ascii="Times New Roman" w:hAnsi="Times New Roman" w:eastAsia="宋体" w:cs="Times New Roman"/>
                <w:kern w:val="2"/>
                <w:sz w:val="18"/>
                <w:szCs w:val="18"/>
                <w:lang w:val="en-US" w:eastAsia="zh-CN" w:bidi="ar-SA"/>
              </w:rPr>
              <w:t>或</w:t>
            </w:r>
            <w:r>
              <w:rPr>
                <w:rFonts w:hint="eastAsia" w:cs="Times New Roman"/>
                <w:kern w:val="2"/>
                <w:sz w:val="18"/>
                <w:szCs w:val="18"/>
                <w:lang w:val="en-US" w:eastAsia="zh-CN" w:bidi="ar-SA"/>
              </w:rPr>
              <w:t>开展的</w:t>
            </w:r>
            <w:r>
              <w:rPr>
                <w:rFonts w:hint="eastAsia" w:ascii="Times New Roman" w:hAnsi="Times New Roman" w:eastAsia="宋体" w:cs="Times New Roman"/>
                <w:kern w:val="2"/>
                <w:sz w:val="18"/>
                <w:szCs w:val="18"/>
                <w:lang w:val="en-US" w:eastAsia="zh-CN" w:bidi="ar-SA"/>
              </w:rPr>
              <w:t>沟通</w:t>
            </w:r>
          </w:p>
        </w:tc>
      </w:tr>
      <w:tr w14:paraId="6931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767C5B9">
            <w:pPr>
              <w:pStyle w:val="265"/>
              <w:autoSpaceDE w:val="0"/>
              <w:autoSpaceDN w:val="0"/>
              <w:adjustRightInd w:val="0"/>
              <w:spacing w:before="0" w:after="0" w:line="240" w:lineRule="auto"/>
              <w:rPr>
                <w:rFonts w:hint="eastAsia" w:ascii="宋体" w:hAnsi="宋体" w:eastAsia="宋体" w:cs="宋体"/>
                <w:b/>
                <w:szCs w:val="18"/>
              </w:rPr>
            </w:pPr>
            <w:r>
              <w:rPr>
                <w:rFonts w:hint="eastAsia" w:ascii="宋体" w:hAnsi="宋体" w:eastAsia="宋体" w:cs="宋体"/>
                <w:color w:val="000000"/>
                <w:sz w:val="18"/>
                <w:szCs w:val="18"/>
              </w:rPr>
              <w:t>7 物理控制</w:t>
            </w:r>
          </w:p>
        </w:tc>
        <w:tc>
          <w:tcPr>
            <w:tcW w:w="807" w:type="dxa"/>
            <w:tcBorders>
              <w:tl2br w:val="nil"/>
              <w:tr2bl w:val="nil"/>
            </w:tcBorders>
            <w:vAlign w:val="top"/>
          </w:tcPr>
          <w:p w14:paraId="74B57FA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33BF488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0CC31EA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w:t>
            </w:r>
          </w:p>
        </w:tc>
      </w:tr>
      <w:tr w14:paraId="5DFE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6BEFAAE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7.1 物理安全边界</w:t>
            </w:r>
          </w:p>
        </w:tc>
        <w:tc>
          <w:tcPr>
            <w:tcW w:w="807" w:type="dxa"/>
            <w:tcBorders>
              <w:tl2br w:val="nil"/>
              <w:tr2bl w:val="nil"/>
            </w:tcBorders>
            <w:vAlign w:val="top"/>
          </w:tcPr>
          <w:p w14:paraId="0F66B8E1">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5816638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5668" w:type="dxa"/>
            <w:tcBorders>
              <w:tl2br w:val="nil"/>
              <w:tr2bl w:val="nil"/>
            </w:tcBorders>
            <w:vAlign w:val="top"/>
          </w:tcPr>
          <w:p w14:paraId="288834F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安全区域的建造规则和物理屏障的强度</w:t>
            </w:r>
          </w:p>
          <w:p w14:paraId="4888319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为</w:t>
            </w:r>
            <w:r>
              <w:rPr>
                <w:rFonts w:hint="eastAsia" w:ascii="Times New Roman" w:hAnsi="Times New Roman" w:eastAsia="宋体" w:cs="Times New Roman"/>
                <w:kern w:val="2"/>
                <w:sz w:val="18"/>
                <w:szCs w:val="18"/>
                <w:lang w:val="en-US" w:eastAsia="zh-CN" w:bidi="ar-SA"/>
              </w:rPr>
              <w:t>每个相关</w:t>
            </w:r>
            <w:r>
              <w:rPr>
                <w:rFonts w:hint="eastAsia" w:cs="Times New Roman"/>
                <w:kern w:val="2"/>
                <w:sz w:val="18"/>
                <w:szCs w:val="18"/>
                <w:lang w:val="en-US" w:eastAsia="zh-CN" w:bidi="ar-SA"/>
              </w:rPr>
              <w:t>场所设计</w:t>
            </w:r>
            <w:r>
              <w:rPr>
                <w:rFonts w:hint="eastAsia" w:ascii="Times New Roman" w:hAnsi="Times New Roman" w:eastAsia="宋体" w:cs="Times New Roman"/>
                <w:kern w:val="2"/>
                <w:sz w:val="18"/>
                <w:szCs w:val="18"/>
                <w:lang w:val="en-US" w:eastAsia="zh-CN" w:bidi="ar-SA"/>
              </w:rPr>
              <w:t>的物理安全边界和安全区域</w:t>
            </w:r>
          </w:p>
        </w:tc>
      </w:tr>
      <w:tr w14:paraId="4FFA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9196CF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7.2 物理入口</w:t>
            </w:r>
          </w:p>
        </w:tc>
        <w:tc>
          <w:tcPr>
            <w:tcW w:w="807" w:type="dxa"/>
            <w:tcBorders>
              <w:tl2br w:val="nil"/>
              <w:tr2bl w:val="nil"/>
            </w:tcBorders>
            <w:vAlign w:val="top"/>
          </w:tcPr>
          <w:p w14:paraId="6733EC8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2BE98F1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5668" w:type="dxa"/>
            <w:tcBorders>
              <w:tl2br w:val="nil"/>
              <w:tr2bl w:val="nil"/>
            </w:tcBorders>
            <w:vAlign w:val="top"/>
          </w:tcPr>
          <w:p w14:paraId="09BFEEE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安全区域入口</w:t>
            </w:r>
            <w:r>
              <w:rPr>
                <w:rFonts w:hint="eastAsia" w:cs="Times New Roman"/>
                <w:kern w:val="2"/>
                <w:sz w:val="18"/>
                <w:szCs w:val="18"/>
                <w:lang w:val="en-US" w:eastAsia="zh-CN" w:bidi="ar-SA"/>
              </w:rPr>
              <w:t>的访问鉴别系统（</w:t>
            </w:r>
            <w:r>
              <w:rPr>
                <w:rFonts w:hint="eastAsia" w:ascii="Times New Roman" w:hAnsi="Times New Roman" w:eastAsia="宋体" w:cs="Times New Roman"/>
                <w:kern w:val="2"/>
                <w:sz w:val="18"/>
                <w:szCs w:val="18"/>
                <w:lang w:val="en-US" w:eastAsia="zh-CN" w:bidi="ar-SA"/>
              </w:rPr>
              <w:t>物理</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或电子</w:t>
            </w:r>
            <w:r>
              <w:rPr>
                <w:rFonts w:hint="eastAsia" w:cs="Times New Roman"/>
                <w:kern w:val="2"/>
                <w:sz w:val="18"/>
                <w:szCs w:val="18"/>
                <w:lang w:val="en-US" w:eastAsia="zh-CN" w:bidi="ar-SA"/>
              </w:rPr>
              <w:t>的）</w:t>
            </w:r>
          </w:p>
          <w:p w14:paraId="48F9679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用于追踪工作人员</w:t>
            </w:r>
            <w:r>
              <w:rPr>
                <w:rFonts w:hint="eastAsia" w:ascii="Times New Roman" w:hAnsi="Times New Roman" w:eastAsia="宋体" w:cs="Times New Roman"/>
                <w:kern w:val="2"/>
                <w:sz w:val="18"/>
                <w:szCs w:val="18"/>
                <w:lang w:val="en-US" w:eastAsia="zh-CN" w:bidi="ar-SA"/>
              </w:rPr>
              <w:t>和访客</w:t>
            </w:r>
            <w:r>
              <w:rPr>
                <w:rFonts w:hint="eastAsia" w:cs="Times New Roman"/>
                <w:kern w:val="2"/>
                <w:sz w:val="18"/>
                <w:szCs w:val="18"/>
                <w:lang w:val="en-US" w:eastAsia="zh-CN" w:bidi="ar-SA"/>
              </w:rPr>
              <w:t>进入的访问日志</w:t>
            </w:r>
          </w:p>
          <w:p w14:paraId="77374BE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交接区</w:t>
            </w:r>
            <w:r>
              <w:rPr>
                <w:rFonts w:hint="eastAsia" w:ascii="Times New Roman" w:hAnsi="Times New Roman" w:eastAsia="宋体" w:cs="Times New Roman"/>
                <w:kern w:val="2"/>
                <w:sz w:val="18"/>
                <w:szCs w:val="18"/>
                <w:lang w:val="en-US" w:eastAsia="zh-CN" w:bidi="ar-SA"/>
              </w:rPr>
              <w:t>的物理设计及相应的</w:t>
            </w:r>
            <w:r>
              <w:rPr>
                <w:rFonts w:hint="eastAsia" w:cs="Times New Roman"/>
                <w:kern w:val="2"/>
                <w:sz w:val="18"/>
                <w:szCs w:val="18"/>
                <w:lang w:val="en-US" w:eastAsia="zh-CN" w:bidi="ar-SA"/>
              </w:rPr>
              <w:t>过程描述</w:t>
            </w:r>
          </w:p>
        </w:tc>
      </w:tr>
      <w:tr w14:paraId="4654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4886B297">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7.3 办公室、房间和设施的安全保护</w:t>
            </w:r>
          </w:p>
        </w:tc>
        <w:tc>
          <w:tcPr>
            <w:tcW w:w="807" w:type="dxa"/>
            <w:tcBorders>
              <w:tl2br w:val="nil"/>
              <w:tr2bl w:val="nil"/>
            </w:tcBorders>
            <w:vAlign w:val="top"/>
          </w:tcPr>
          <w:p w14:paraId="304D914D">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337DEB4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5668" w:type="dxa"/>
            <w:tcBorders>
              <w:tl2br w:val="nil"/>
              <w:tr2bl w:val="nil"/>
            </w:tcBorders>
            <w:vAlign w:val="top"/>
          </w:tcPr>
          <w:p w14:paraId="1B9CADA3">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办公室和设施的物理安全设计和</w:t>
            </w:r>
            <w:r>
              <w:rPr>
                <w:rFonts w:hint="eastAsia" w:cs="Times New Roman"/>
                <w:kern w:val="2"/>
                <w:sz w:val="18"/>
                <w:szCs w:val="18"/>
                <w:lang w:val="en-US" w:eastAsia="zh-CN" w:bidi="ar-SA"/>
              </w:rPr>
              <w:t>实现</w:t>
            </w:r>
            <w:r>
              <w:rPr>
                <w:rFonts w:hint="eastAsia" w:ascii="Times New Roman" w:hAnsi="Times New Roman" w:eastAsia="宋体" w:cs="Times New Roman"/>
                <w:kern w:val="2"/>
                <w:sz w:val="18"/>
                <w:szCs w:val="18"/>
                <w:lang w:val="en-US" w:eastAsia="zh-CN" w:bidi="ar-SA"/>
              </w:rPr>
              <w:t>，以屏蔽正在处理的敏感信息</w:t>
            </w:r>
          </w:p>
        </w:tc>
      </w:tr>
      <w:tr w14:paraId="711F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52EFAE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7.4 物理安全监视</w:t>
            </w:r>
          </w:p>
        </w:tc>
        <w:tc>
          <w:tcPr>
            <w:tcW w:w="807" w:type="dxa"/>
            <w:tcBorders>
              <w:tl2br w:val="nil"/>
              <w:tr2bl w:val="nil"/>
            </w:tcBorders>
            <w:vAlign w:val="top"/>
          </w:tcPr>
          <w:p w14:paraId="0F813E3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00FC877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5668" w:type="dxa"/>
            <w:tcBorders>
              <w:tl2br w:val="nil"/>
              <w:tr2bl w:val="nil"/>
            </w:tcBorders>
            <w:vAlign w:val="top"/>
          </w:tcPr>
          <w:p w14:paraId="586D3A7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物理</w:t>
            </w:r>
            <w:r>
              <w:rPr>
                <w:rFonts w:hint="eastAsia" w:cs="Times New Roman"/>
                <w:kern w:val="2"/>
                <w:sz w:val="18"/>
                <w:szCs w:val="18"/>
                <w:lang w:val="en-US" w:eastAsia="zh-CN" w:bidi="ar-SA"/>
              </w:rPr>
              <w:t>监视</w:t>
            </w:r>
            <w:r>
              <w:rPr>
                <w:rFonts w:hint="eastAsia" w:ascii="Times New Roman" w:hAnsi="Times New Roman" w:eastAsia="宋体" w:cs="Times New Roman"/>
                <w:kern w:val="2"/>
                <w:sz w:val="18"/>
                <w:szCs w:val="18"/>
                <w:lang w:val="en-US" w:eastAsia="zh-CN" w:bidi="ar-SA"/>
              </w:rPr>
              <w:t>系统的设计，以检测未经授权的物理访问</w:t>
            </w:r>
          </w:p>
          <w:p w14:paraId="3071D35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监视</w:t>
            </w:r>
            <w:r>
              <w:rPr>
                <w:rFonts w:hint="eastAsia" w:ascii="Times New Roman" w:hAnsi="Times New Roman" w:eastAsia="宋体" w:cs="Times New Roman"/>
                <w:kern w:val="2"/>
                <w:sz w:val="18"/>
                <w:szCs w:val="18"/>
                <w:lang w:val="en-US" w:eastAsia="zh-CN" w:bidi="ar-SA"/>
              </w:rPr>
              <w:t>系统的保护</w:t>
            </w:r>
          </w:p>
          <w:p w14:paraId="1E668E73">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物理</w:t>
            </w:r>
            <w:r>
              <w:rPr>
                <w:rFonts w:hint="eastAsia" w:cs="Times New Roman"/>
                <w:kern w:val="2"/>
                <w:sz w:val="18"/>
                <w:szCs w:val="18"/>
                <w:lang w:val="en-US" w:eastAsia="zh-CN" w:bidi="ar-SA"/>
              </w:rPr>
              <w:t>监视</w:t>
            </w:r>
            <w:r>
              <w:rPr>
                <w:rFonts w:hint="eastAsia" w:ascii="Times New Roman" w:hAnsi="Times New Roman" w:eastAsia="宋体" w:cs="Times New Roman"/>
                <w:kern w:val="2"/>
                <w:sz w:val="18"/>
                <w:szCs w:val="18"/>
                <w:lang w:val="en-US" w:eastAsia="zh-CN" w:bidi="ar-SA"/>
              </w:rPr>
              <w:t>系统运行产生的日志</w:t>
            </w:r>
          </w:p>
        </w:tc>
      </w:tr>
      <w:tr w14:paraId="7B76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77589D2">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7.5 物理和环境威胁防范</w:t>
            </w:r>
          </w:p>
        </w:tc>
        <w:tc>
          <w:tcPr>
            <w:tcW w:w="807" w:type="dxa"/>
            <w:tcBorders>
              <w:tl2br w:val="nil"/>
              <w:tr2bl w:val="nil"/>
            </w:tcBorders>
            <w:vAlign w:val="top"/>
          </w:tcPr>
          <w:p w14:paraId="1EE496F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5C02F91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5668" w:type="dxa"/>
            <w:tcBorders>
              <w:tl2br w:val="nil"/>
              <w:tr2bl w:val="nil"/>
            </w:tcBorders>
            <w:vAlign w:val="top"/>
          </w:tcPr>
          <w:p w14:paraId="1688F25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物理</w:t>
            </w:r>
            <w:r>
              <w:rPr>
                <w:rFonts w:hint="eastAsia" w:cs="Times New Roman"/>
                <w:kern w:val="2"/>
                <w:sz w:val="18"/>
                <w:szCs w:val="18"/>
                <w:lang w:val="en-US" w:eastAsia="zh-CN" w:bidi="ar-SA"/>
              </w:rPr>
              <w:t>威胁</w:t>
            </w:r>
            <w:r>
              <w:rPr>
                <w:rFonts w:hint="eastAsia" w:ascii="Times New Roman" w:hAnsi="Times New Roman" w:eastAsia="宋体" w:cs="Times New Roman"/>
                <w:kern w:val="2"/>
                <w:sz w:val="18"/>
                <w:szCs w:val="18"/>
                <w:lang w:val="en-US" w:eastAsia="zh-CN" w:bidi="ar-SA"/>
              </w:rPr>
              <w:t>和环境威胁的风险评估结果</w:t>
            </w:r>
          </w:p>
          <w:p w14:paraId="6746215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用于</w:t>
            </w:r>
            <w:r>
              <w:rPr>
                <w:rFonts w:hint="eastAsia" w:ascii="Times New Roman" w:hAnsi="Times New Roman" w:eastAsia="宋体" w:cs="Times New Roman"/>
                <w:kern w:val="2"/>
                <w:sz w:val="18"/>
                <w:szCs w:val="18"/>
                <w:lang w:val="en-US" w:eastAsia="zh-CN" w:bidi="ar-SA"/>
              </w:rPr>
              <w:t>防止物理和环境威胁的适当措施</w:t>
            </w:r>
            <w:r>
              <w:rPr>
                <w:rFonts w:hint="eastAsia" w:cs="Times New Roman"/>
                <w:kern w:val="2"/>
                <w:sz w:val="18"/>
                <w:szCs w:val="18"/>
                <w:lang w:val="en-US" w:eastAsia="zh-CN" w:bidi="ar-SA"/>
              </w:rPr>
              <w:t>的设计</w:t>
            </w:r>
          </w:p>
        </w:tc>
      </w:tr>
      <w:tr w14:paraId="7038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25A575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7.6 在安全区域工作</w:t>
            </w:r>
          </w:p>
        </w:tc>
        <w:tc>
          <w:tcPr>
            <w:tcW w:w="807" w:type="dxa"/>
            <w:tcBorders>
              <w:tl2br w:val="nil"/>
              <w:tr2bl w:val="nil"/>
            </w:tcBorders>
            <w:vAlign w:val="top"/>
          </w:tcPr>
          <w:p w14:paraId="38A916E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4805FE1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5668" w:type="dxa"/>
            <w:tcBorders>
              <w:tl2br w:val="nil"/>
              <w:tr2bl w:val="nil"/>
            </w:tcBorders>
            <w:vAlign w:val="top"/>
          </w:tcPr>
          <w:p w14:paraId="438D93D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安全区域工作规则</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说明具体</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安全措施</w:t>
            </w:r>
            <w:r>
              <w:rPr>
                <w:rFonts w:hint="eastAsia" w:cs="Times New Roman"/>
                <w:kern w:val="2"/>
                <w:sz w:val="18"/>
                <w:szCs w:val="18"/>
                <w:lang w:val="en-US" w:eastAsia="zh-CN" w:bidi="ar-SA"/>
              </w:rPr>
              <w:t>）</w:t>
            </w:r>
          </w:p>
          <w:p w14:paraId="739D484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对安全区域实施</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安全措施</w:t>
            </w:r>
          </w:p>
        </w:tc>
      </w:tr>
      <w:tr w14:paraId="494E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31B556D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7.7 清理桌面和屏幕</w:t>
            </w:r>
          </w:p>
        </w:tc>
        <w:tc>
          <w:tcPr>
            <w:tcW w:w="807" w:type="dxa"/>
            <w:tcBorders>
              <w:tl2br w:val="nil"/>
              <w:tr2bl w:val="nil"/>
            </w:tcBorders>
            <w:vAlign w:val="top"/>
          </w:tcPr>
          <w:p w14:paraId="2AED5E2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04DA42B1">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5668" w:type="dxa"/>
            <w:tcBorders>
              <w:tl2br w:val="nil"/>
              <w:tr2bl w:val="nil"/>
            </w:tcBorders>
            <w:vAlign w:val="top"/>
          </w:tcPr>
          <w:p w14:paraId="46CD6FF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清理桌面和屏幕的规则，例如</w:t>
            </w:r>
            <w:r>
              <w:rPr>
                <w:rFonts w:hint="eastAsia" w:cs="Times New Roman"/>
                <w:kern w:val="2"/>
                <w:sz w:val="18"/>
                <w:szCs w:val="18"/>
                <w:lang w:val="en-US" w:eastAsia="zh-CN" w:bidi="ar-SA"/>
              </w:rPr>
              <w:t>，在特定主题策略中</w:t>
            </w:r>
          </w:p>
          <w:p w14:paraId="68EB991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抽查</w:t>
            </w:r>
            <w:r>
              <w:rPr>
                <w:rFonts w:hint="eastAsia" w:cs="Times New Roman"/>
                <w:kern w:val="2"/>
                <w:sz w:val="18"/>
                <w:szCs w:val="18"/>
                <w:lang w:val="en-US" w:eastAsia="zh-CN" w:bidi="ar-SA"/>
              </w:rPr>
              <w:t>清理</w:t>
            </w:r>
            <w:r>
              <w:rPr>
                <w:rFonts w:hint="eastAsia" w:ascii="Times New Roman" w:hAnsi="Times New Roman" w:eastAsia="宋体" w:cs="Times New Roman"/>
                <w:kern w:val="2"/>
                <w:sz w:val="18"/>
                <w:szCs w:val="18"/>
                <w:lang w:val="en-US" w:eastAsia="zh-CN" w:bidi="ar-SA"/>
              </w:rPr>
              <w:t>桌面和屏幕</w:t>
            </w:r>
            <w:r>
              <w:rPr>
                <w:rFonts w:hint="eastAsia" w:cs="Times New Roman"/>
                <w:kern w:val="2"/>
                <w:sz w:val="18"/>
                <w:szCs w:val="18"/>
                <w:lang w:val="en-US" w:eastAsia="zh-CN" w:bidi="ar-SA"/>
              </w:rPr>
              <w:t>的行为（</w:t>
            </w:r>
            <w:r>
              <w:rPr>
                <w:rFonts w:hint="eastAsia"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工作区域和打印机</w:t>
            </w:r>
            <w:r>
              <w:rPr>
                <w:rFonts w:hint="eastAsia" w:cs="Times New Roman"/>
                <w:kern w:val="2"/>
                <w:sz w:val="18"/>
                <w:szCs w:val="18"/>
                <w:lang w:val="en-US" w:eastAsia="zh-CN" w:bidi="ar-SA"/>
              </w:rPr>
              <w:t>）</w:t>
            </w:r>
          </w:p>
        </w:tc>
      </w:tr>
      <w:tr w14:paraId="199A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4274CBA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7.8 设备安置和保护</w:t>
            </w:r>
          </w:p>
        </w:tc>
        <w:tc>
          <w:tcPr>
            <w:tcW w:w="807" w:type="dxa"/>
            <w:tcBorders>
              <w:tl2br w:val="nil"/>
              <w:tr2bl w:val="nil"/>
            </w:tcBorders>
            <w:vAlign w:val="top"/>
          </w:tcPr>
          <w:p w14:paraId="1BC31B9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6B11838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5668" w:type="dxa"/>
            <w:tcBorders>
              <w:tl2br w:val="nil"/>
              <w:tr2bl w:val="nil"/>
            </w:tcBorders>
            <w:vAlign w:val="top"/>
          </w:tcPr>
          <w:p w14:paraId="6EC3D8E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设备</w:t>
            </w:r>
            <w:r>
              <w:rPr>
                <w:rFonts w:hint="eastAsia" w:cs="Times New Roman"/>
                <w:kern w:val="2"/>
                <w:sz w:val="18"/>
                <w:szCs w:val="18"/>
                <w:lang w:val="en-US" w:eastAsia="zh-CN" w:bidi="ar-SA"/>
              </w:rPr>
              <w:t>安置</w:t>
            </w:r>
            <w:r>
              <w:rPr>
                <w:rFonts w:hint="eastAsia" w:ascii="Times New Roman" w:hAnsi="Times New Roman" w:eastAsia="宋体" w:cs="Times New Roman"/>
                <w:kern w:val="2"/>
                <w:sz w:val="18"/>
                <w:szCs w:val="18"/>
                <w:lang w:val="en-US" w:eastAsia="zh-CN" w:bidi="ar-SA"/>
              </w:rPr>
              <w:t>和保护</w:t>
            </w:r>
            <w:r>
              <w:rPr>
                <w:rFonts w:hint="eastAsia" w:cs="Times New Roman"/>
                <w:kern w:val="2"/>
                <w:sz w:val="18"/>
                <w:szCs w:val="18"/>
                <w:lang w:val="en-US" w:eastAsia="zh-CN" w:bidi="ar-SA"/>
              </w:rPr>
              <w:t>规则</w:t>
            </w:r>
          </w:p>
          <w:p w14:paraId="55F538B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抽查设备</w:t>
            </w:r>
            <w:r>
              <w:rPr>
                <w:rFonts w:hint="eastAsia" w:cs="Times New Roman"/>
                <w:kern w:val="2"/>
                <w:sz w:val="18"/>
                <w:szCs w:val="18"/>
                <w:lang w:val="en-US" w:eastAsia="zh-CN" w:bidi="ar-SA"/>
              </w:rPr>
              <w:t>安置</w:t>
            </w:r>
            <w:r>
              <w:rPr>
                <w:rFonts w:hint="eastAsia" w:ascii="Times New Roman" w:hAnsi="Times New Roman" w:eastAsia="宋体" w:cs="Times New Roman"/>
                <w:kern w:val="2"/>
                <w:sz w:val="18"/>
                <w:szCs w:val="18"/>
                <w:lang w:val="en-US" w:eastAsia="zh-CN" w:bidi="ar-SA"/>
              </w:rPr>
              <w:t>和</w:t>
            </w:r>
            <w:r>
              <w:rPr>
                <w:rFonts w:hint="eastAsia" w:cs="Times New Roman"/>
                <w:kern w:val="2"/>
                <w:sz w:val="18"/>
                <w:szCs w:val="18"/>
                <w:lang w:val="en-US" w:eastAsia="zh-CN" w:bidi="ar-SA"/>
              </w:rPr>
              <w:t>保护</w:t>
            </w:r>
          </w:p>
        </w:tc>
      </w:tr>
      <w:tr w14:paraId="0B64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210F92FB">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7.9 组织场所外的资产安全</w:t>
            </w:r>
          </w:p>
        </w:tc>
        <w:tc>
          <w:tcPr>
            <w:tcW w:w="807" w:type="dxa"/>
            <w:tcBorders>
              <w:tl2br w:val="nil"/>
              <w:tr2bl w:val="nil"/>
            </w:tcBorders>
            <w:vAlign w:val="top"/>
          </w:tcPr>
          <w:p w14:paraId="7FFE7C3B">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4BAC4CF1">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119F71C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组织场所外资产的</w:t>
            </w:r>
            <w:r>
              <w:rPr>
                <w:rFonts w:hint="eastAsia" w:cs="Times New Roman"/>
                <w:kern w:val="2"/>
                <w:sz w:val="18"/>
                <w:szCs w:val="18"/>
                <w:lang w:val="en-US" w:eastAsia="zh-CN" w:bidi="ar-SA"/>
              </w:rPr>
              <w:t>使用</w:t>
            </w:r>
            <w:r>
              <w:rPr>
                <w:rFonts w:hint="eastAsia" w:ascii="Times New Roman" w:hAnsi="Times New Roman" w:eastAsia="宋体" w:cs="Times New Roman"/>
                <w:kern w:val="2"/>
                <w:sz w:val="18"/>
                <w:szCs w:val="18"/>
                <w:lang w:val="en-US" w:eastAsia="zh-CN" w:bidi="ar-SA"/>
              </w:rPr>
              <w:t>规则</w:t>
            </w:r>
            <w:r>
              <w:rPr>
                <w:rFonts w:hint="eastAsia" w:cs="Times New Roman"/>
                <w:kern w:val="2"/>
                <w:sz w:val="18"/>
                <w:szCs w:val="18"/>
                <w:lang w:val="en-US" w:eastAsia="zh-CN" w:bidi="ar-SA"/>
              </w:rPr>
              <w:t>[例如，</w:t>
            </w:r>
            <w:r>
              <w:rPr>
                <w:rFonts w:hint="eastAsia"/>
                <w:sz w:val="18"/>
                <w:szCs w:val="18"/>
              </w:rPr>
              <w:t>自携</w:t>
            </w:r>
            <w:r>
              <w:rPr>
                <w:rFonts w:hint="eastAsia" w:ascii="Times New Roman" w:hAnsi="Times New Roman" w:eastAsia="宋体" w:cs="Times New Roman"/>
                <w:kern w:val="2"/>
                <w:sz w:val="18"/>
                <w:szCs w:val="18"/>
                <w:lang w:val="en-US" w:eastAsia="zh-CN" w:bidi="ar-SA"/>
              </w:rPr>
              <w:t>设备</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BYOD</w:t>
            </w:r>
            <w:r>
              <w:rPr>
                <w:rFonts w:hint="eastAsia" w:cs="Times New Roman"/>
                <w:kern w:val="2"/>
                <w:sz w:val="18"/>
                <w:szCs w:val="18"/>
                <w:lang w:val="en-US" w:eastAsia="zh-CN" w:bidi="ar-SA"/>
              </w:rPr>
              <w:t>）指南]</w:t>
            </w:r>
          </w:p>
          <w:p w14:paraId="7ED49A6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对使用组织场所外资产的</w:t>
            </w:r>
            <w:r>
              <w:rPr>
                <w:rFonts w:hint="eastAsia" w:cs="Times New Roman"/>
                <w:kern w:val="2"/>
                <w:sz w:val="18"/>
                <w:szCs w:val="18"/>
                <w:lang w:val="en-US" w:eastAsia="zh-CN" w:bidi="ar-SA"/>
              </w:rPr>
              <w:t>工作</w:t>
            </w:r>
            <w:r>
              <w:rPr>
                <w:rFonts w:hint="eastAsia" w:ascii="Times New Roman" w:hAnsi="Times New Roman" w:eastAsia="宋体" w:cs="Times New Roman"/>
                <w:kern w:val="2"/>
                <w:sz w:val="18"/>
                <w:szCs w:val="18"/>
                <w:lang w:val="en-US" w:eastAsia="zh-CN" w:bidi="ar-SA"/>
              </w:rPr>
              <w:t>人员进行访谈或调查的结果</w:t>
            </w:r>
          </w:p>
        </w:tc>
      </w:tr>
      <w:tr w14:paraId="6D56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87C915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7.1</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 xml:space="preserve"> 存储媒体</w:t>
            </w:r>
          </w:p>
        </w:tc>
        <w:tc>
          <w:tcPr>
            <w:tcW w:w="807" w:type="dxa"/>
            <w:tcBorders>
              <w:tl2br w:val="nil"/>
              <w:tr2bl w:val="nil"/>
            </w:tcBorders>
            <w:vAlign w:val="top"/>
          </w:tcPr>
          <w:p w14:paraId="3DBCE61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30DC46A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34DB219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使用可移动存储</w:t>
            </w:r>
            <w:r>
              <w:rPr>
                <w:rFonts w:hint="eastAsia" w:cs="Times New Roman"/>
                <w:kern w:val="2"/>
                <w:sz w:val="18"/>
                <w:szCs w:val="18"/>
                <w:lang w:val="en-US" w:eastAsia="zh-CN" w:bidi="ar-SA"/>
              </w:rPr>
              <w:t>媒体</w:t>
            </w:r>
            <w:r>
              <w:rPr>
                <w:rFonts w:hint="eastAsia" w:ascii="Times New Roman" w:hAnsi="Times New Roman" w:eastAsia="宋体" w:cs="Times New Roman"/>
                <w:kern w:val="2"/>
                <w:sz w:val="18"/>
                <w:szCs w:val="18"/>
                <w:lang w:val="en-US" w:eastAsia="zh-CN" w:bidi="ar-SA"/>
              </w:rPr>
              <w:t>的规则，例如</w:t>
            </w:r>
            <w:r>
              <w:rPr>
                <w:rFonts w:hint="eastAsia" w:cs="Times New Roman"/>
                <w:kern w:val="2"/>
                <w:sz w:val="18"/>
                <w:szCs w:val="18"/>
                <w:lang w:val="en-US" w:eastAsia="zh-CN" w:bidi="ar-SA"/>
              </w:rPr>
              <w:t>，在特定主题策略中</w:t>
            </w:r>
          </w:p>
          <w:p w14:paraId="2DBABC5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限制或保护</w:t>
            </w:r>
            <w:r>
              <w:rPr>
                <w:rFonts w:hint="eastAsia" w:cs="Times New Roman"/>
                <w:kern w:val="2"/>
                <w:sz w:val="18"/>
                <w:szCs w:val="18"/>
                <w:lang w:val="en-US" w:eastAsia="zh-CN" w:bidi="ar-SA"/>
              </w:rPr>
              <w:t>与</w:t>
            </w:r>
            <w:r>
              <w:rPr>
                <w:rFonts w:hint="eastAsia" w:ascii="Times New Roman" w:hAnsi="Times New Roman" w:eastAsia="宋体" w:cs="Times New Roman"/>
                <w:kern w:val="2"/>
                <w:sz w:val="18"/>
                <w:szCs w:val="18"/>
                <w:lang w:val="en-US" w:eastAsia="zh-CN" w:bidi="ar-SA"/>
              </w:rPr>
              <w:t>可移动存储</w:t>
            </w:r>
            <w:r>
              <w:rPr>
                <w:rFonts w:hint="eastAsia" w:cs="Times New Roman"/>
                <w:kern w:val="2"/>
                <w:sz w:val="18"/>
                <w:szCs w:val="18"/>
                <w:lang w:val="en-US" w:eastAsia="zh-CN" w:bidi="ar-SA"/>
              </w:rPr>
              <w:t>媒体发生信息</w:t>
            </w:r>
            <w:r>
              <w:rPr>
                <w:rFonts w:hint="eastAsia" w:ascii="Times New Roman" w:hAnsi="Times New Roman" w:eastAsia="宋体" w:cs="Times New Roman"/>
                <w:kern w:val="2"/>
                <w:sz w:val="18"/>
                <w:szCs w:val="18"/>
                <w:lang w:val="en-US" w:eastAsia="zh-CN" w:bidi="ar-SA"/>
              </w:rPr>
              <w:t>传输的设备配置</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包括例如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加密</w:t>
            </w:r>
            <w:r>
              <w:rPr>
                <w:rFonts w:hint="eastAsia" w:cs="Times New Roman"/>
                <w:kern w:val="2"/>
                <w:sz w:val="18"/>
                <w:szCs w:val="18"/>
                <w:lang w:val="en-US" w:eastAsia="zh-CN" w:bidi="ar-SA"/>
              </w:rPr>
              <w:t>）</w:t>
            </w:r>
          </w:p>
          <w:p w14:paraId="3169D98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安全处置过程，以及</w:t>
            </w:r>
            <w:r>
              <w:rPr>
                <w:rFonts w:hint="eastAsia" w:cs="Times New Roman"/>
                <w:kern w:val="2"/>
                <w:sz w:val="18"/>
                <w:szCs w:val="18"/>
                <w:lang w:val="en-US" w:eastAsia="zh-CN" w:bidi="ar-SA"/>
              </w:rPr>
              <w:t>这类</w:t>
            </w:r>
            <w:r>
              <w:rPr>
                <w:rFonts w:hint="eastAsia" w:ascii="Times New Roman" w:hAnsi="Times New Roman" w:eastAsia="宋体" w:cs="Times New Roman"/>
                <w:kern w:val="2"/>
                <w:sz w:val="18"/>
                <w:szCs w:val="18"/>
                <w:lang w:val="en-US" w:eastAsia="zh-CN" w:bidi="ar-SA"/>
              </w:rPr>
              <w:t>过程的记录</w:t>
            </w:r>
          </w:p>
        </w:tc>
      </w:tr>
      <w:tr w14:paraId="0CFF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E53696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7.11 支持性设施</w:t>
            </w:r>
          </w:p>
        </w:tc>
        <w:tc>
          <w:tcPr>
            <w:tcW w:w="807" w:type="dxa"/>
            <w:tcBorders>
              <w:tl2br w:val="nil"/>
              <w:tr2bl w:val="nil"/>
            </w:tcBorders>
            <w:vAlign w:val="top"/>
          </w:tcPr>
          <w:p w14:paraId="1B5419C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6144EBE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5668" w:type="dxa"/>
            <w:tcBorders>
              <w:tl2br w:val="nil"/>
              <w:tr2bl w:val="nil"/>
            </w:tcBorders>
            <w:vAlign w:val="top"/>
          </w:tcPr>
          <w:p w14:paraId="220BA04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为</w:t>
            </w:r>
            <w:r>
              <w:rPr>
                <w:rFonts w:hint="eastAsia" w:ascii="Times New Roman" w:hAnsi="Times New Roman" w:eastAsia="宋体" w:cs="Times New Roman"/>
                <w:kern w:val="2"/>
                <w:sz w:val="18"/>
                <w:szCs w:val="18"/>
                <w:lang w:val="en-US" w:eastAsia="zh-CN" w:bidi="ar-SA"/>
              </w:rPr>
              <w:t>设施</w:t>
            </w:r>
            <w:r>
              <w:rPr>
                <w:rFonts w:hint="eastAsia" w:cs="Times New Roman"/>
                <w:kern w:val="2"/>
                <w:sz w:val="18"/>
                <w:szCs w:val="18"/>
                <w:lang w:val="en-US" w:eastAsia="zh-CN" w:bidi="ar-SA"/>
              </w:rPr>
              <w:t>安装的</w:t>
            </w:r>
            <w:r>
              <w:rPr>
                <w:rFonts w:hint="eastAsia" w:ascii="Times New Roman" w:hAnsi="Times New Roman" w:eastAsia="宋体" w:cs="Times New Roman"/>
                <w:kern w:val="2"/>
                <w:sz w:val="18"/>
                <w:szCs w:val="18"/>
                <w:lang w:val="en-US" w:eastAsia="zh-CN" w:bidi="ar-SA"/>
              </w:rPr>
              <w:t>保护措施，特别是在数据中心</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温度、电力供应、水</w:t>
            </w:r>
            <w:r>
              <w:rPr>
                <w:rFonts w:hint="eastAsia" w:cs="Times New Roman"/>
                <w:kern w:val="2"/>
                <w:sz w:val="18"/>
                <w:szCs w:val="18"/>
                <w:lang w:val="en-US" w:eastAsia="zh-CN" w:bidi="ar-SA"/>
              </w:rPr>
              <w:t>）</w:t>
            </w:r>
          </w:p>
          <w:p w14:paraId="496ADED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切断电力、水、气或其他设施的</w:t>
            </w:r>
            <w:r>
              <w:rPr>
                <w:rFonts w:hint="eastAsia" w:cs="Times New Roman"/>
                <w:kern w:val="2"/>
                <w:sz w:val="18"/>
                <w:szCs w:val="18"/>
                <w:lang w:val="en-US" w:eastAsia="zh-CN" w:bidi="ar-SA"/>
              </w:rPr>
              <w:t>紧急规定</w:t>
            </w:r>
          </w:p>
        </w:tc>
      </w:tr>
      <w:tr w14:paraId="321D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33EE0A79">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7.12 布缆安全</w:t>
            </w:r>
          </w:p>
        </w:tc>
        <w:tc>
          <w:tcPr>
            <w:tcW w:w="807" w:type="dxa"/>
            <w:tcBorders>
              <w:tl2br w:val="nil"/>
              <w:tr2bl w:val="nil"/>
            </w:tcBorders>
            <w:vAlign w:val="top"/>
          </w:tcPr>
          <w:p w14:paraId="065A9C0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27750AC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5668" w:type="dxa"/>
            <w:tcBorders>
              <w:tl2br w:val="nil"/>
              <w:tr2bl w:val="nil"/>
            </w:tcBorders>
            <w:vAlign w:val="top"/>
          </w:tcPr>
          <w:p w14:paraId="75549AE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物理布线和</w:t>
            </w:r>
            <w:r>
              <w:rPr>
                <w:rFonts w:hint="eastAsia"/>
                <w:sz w:val="18"/>
                <w:szCs w:val="18"/>
              </w:rPr>
              <w:t>布缆</w:t>
            </w:r>
            <w:r>
              <w:rPr>
                <w:rFonts w:hint="eastAsia" w:ascii="Times New Roman" w:hAnsi="Times New Roman" w:eastAsia="宋体" w:cs="Times New Roman"/>
                <w:kern w:val="2"/>
                <w:sz w:val="18"/>
                <w:szCs w:val="18"/>
                <w:lang w:val="en-US" w:eastAsia="zh-CN" w:bidi="ar-SA"/>
              </w:rPr>
              <w:t>保护</w:t>
            </w:r>
          </w:p>
        </w:tc>
      </w:tr>
      <w:tr w14:paraId="511A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3DF5331E">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7.13 设备维护</w:t>
            </w:r>
          </w:p>
        </w:tc>
        <w:tc>
          <w:tcPr>
            <w:tcW w:w="807" w:type="dxa"/>
            <w:tcBorders>
              <w:tl2br w:val="nil"/>
              <w:tr2bl w:val="nil"/>
            </w:tcBorders>
            <w:vAlign w:val="top"/>
          </w:tcPr>
          <w:p w14:paraId="69E9C7B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287870C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53C601B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不同类型设备的维护</w:t>
            </w:r>
            <w:r>
              <w:rPr>
                <w:rFonts w:hint="eastAsia" w:cs="Times New Roman"/>
                <w:kern w:val="2"/>
                <w:sz w:val="18"/>
                <w:szCs w:val="18"/>
                <w:lang w:val="en-US" w:eastAsia="zh-CN" w:bidi="ar-SA"/>
              </w:rPr>
              <w:t>规程</w:t>
            </w:r>
          </w:p>
          <w:p w14:paraId="65CE58E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设备维护记录</w:t>
            </w:r>
          </w:p>
        </w:tc>
      </w:tr>
      <w:tr w14:paraId="40F5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48676F69">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7.14 设备的安全处置或重复使用</w:t>
            </w:r>
          </w:p>
        </w:tc>
        <w:tc>
          <w:tcPr>
            <w:tcW w:w="807" w:type="dxa"/>
            <w:tcBorders>
              <w:tl2br w:val="nil"/>
              <w:tr2bl w:val="nil"/>
            </w:tcBorders>
            <w:vAlign w:val="top"/>
          </w:tcPr>
          <w:p w14:paraId="510FBFCE">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006CA53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5668" w:type="dxa"/>
            <w:tcBorders>
              <w:tl2br w:val="nil"/>
              <w:tr2bl w:val="nil"/>
            </w:tcBorders>
            <w:vAlign w:val="top"/>
          </w:tcPr>
          <w:p w14:paraId="0A12BAE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含存储</w:t>
            </w:r>
            <w:r>
              <w:rPr>
                <w:rFonts w:hint="eastAsia" w:cs="Times New Roman"/>
                <w:kern w:val="2"/>
                <w:sz w:val="18"/>
                <w:szCs w:val="18"/>
                <w:lang w:val="en-US" w:eastAsia="zh-CN" w:bidi="ar-SA"/>
              </w:rPr>
              <w:t>媒体</w:t>
            </w:r>
            <w:r>
              <w:rPr>
                <w:rFonts w:hint="eastAsia" w:ascii="Times New Roman" w:hAnsi="Times New Roman" w:eastAsia="宋体" w:cs="Times New Roman"/>
                <w:kern w:val="2"/>
                <w:sz w:val="18"/>
                <w:szCs w:val="18"/>
                <w:lang w:val="en-US" w:eastAsia="zh-CN" w:bidi="ar-SA"/>
              </w:rPr>
              <w:t>的设备的处置或</w:t>
            </w:r>
            <w:r>
              <w:rPr>
                <w:rFonts w:hint="eastAsia" w:cs="Times New Roman"/>
                <w:kern w:val="2"/>
                <w:sz w:val="18"/>
                <w:szCs w:val="18"/>
                <w:lang w:val="en-US" w:eastAsia="zh-CN" w:bidi="ar-SA"/>
              </w:rPr>
              <w:t>重复使用</w:t>
            </w:r>
            <w:r>
              <w:rPr>
                <w:rFonts w:hint="eastAsia" w:ascii="Times New Roman" w:hAnsi="Times New Roman" w:eastAsia="宋体" w:cs="Times New Roman"/>
                <w:kern w:val="2"/>
                <w:sz w:val="18"/>
                <w:szCs w:val="18"/>
                <w:lang w:val="en-US" w:eastAsia="zh-CN" w:bidi="ar-SA"/>
              </w:rPr>
              <w:t>规则</w:t>
            </w:r>
          </w:p>
          <w:p w14:paraId="0D243A9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信息或设备的物理或逻辑</w:t>
            </w:r>
            <w:r>
              <w:rPr>
                <w:rFonts w:hint="eastAsia" w:cs="Times New Roman"/>
                <w:kern w:val="2"/>
                <w:sz w:val="18"/>
                <w:szCs w:val="18"/>
                <w:lang w:val="en-US" w:eastAsia="zh-CN" w:bidi="ar-SA"/>
              </w:rPr>
              <w:t>毁坏</w:t>
            </w:r>
            <w:r>
              <w:rPr>
                <w:rFonts w:hint="eastAsia" w:ascii="Times New Roman" w:hAnsi="Times New Roman" w:eastAsia="宋体" w:cs="Times New Roman"/>
                <w:kern w:val="2"/>
                <w:sz w:val="18"/>
                <w:szCs w:val="18"/>
                <w:lang w:val="en-US" w:eastAsia="zh-CN" w:bidi="ar-SA"/>
              </w:rPr>
              <w:t>记录</w:t>
            </w:r>
          </w:p>
        </w:tc>
      </w:tr>
      <w:tr w14:paraId="4413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3310666">
            <w:pPr>
              <w:pStyle w:val="265"/>
              <w:autoSpaceDE w:val="0"/>
              <w:autoSpaceDN w:val="0"/>
              <w:adjustRightInd w:val="0"/>
              <w:spacing w:before="0" w:after="0" w:line="240" w:lineRule="auto"/>
              <w:rPr>
                <w:rFonts w:hint="eastAsia" w:ascii="宋体" w:hAnsi="宋体" w:eastAsia="宋体" w:cs="宋体"/>
                <w:b/>
                <w:szCs w:val="18"/>
              </w:rPr>
            </w:pPr>
            <w:r>
              <w:rPr>
                <w:rFonts w:hint="eastAsia" w:ascii="宋体" w:hAnsi="宋体" w:eastAsia="宋体" w:cs="宋体"/>
                <w:color w:val="000000"/>
                <w:sz w:val="18"/>
                <w:szCs w:val="18"/>
              </w:rPr>
              <w:t>8 技术控制</w:t>
            </w:r>
          </w:p>
        </w:tc>
        <w:tc>
          <w:tcPr>
            <w:tcW w:w="807" w:type="dxa"/>
            <w:tcBorders>
              <w:tl2br w:val="nil"/>
              <w:tr2bl w:val="nil"/>
            </w:tcBorders>
            <w:vAlign w:val="top"/>
          </w:tcPr>
          <w:p w14:paraId="785C7EC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65989DA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62ECED48">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w:t>
            </w:r>
          </w:p>
        </w:tc>
      </w:tr>
      <w:tr w14:paraId="489C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210427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8.1 用户终端设备</w:t>
            </w:r>
          </w:p>
        </w:tc>
        <w:tc>
          <w:tcPr>
            <w:tcW w:w="807" w:type="dxa"/>
            <w:tcBorders>
              <w:tl2br w:val="nil"/>
              <w:tr2bl w:val="nil"/>
            </w:tcBorders>
            <w:vAlign w:val="top"/>
          </w:tcPr>
          <w:p w14:paraId="2F83B05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09FACD3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7265005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用户</w:t>
            </w:r>
            <w:r>
              <w:rPr>
                <w:rFonts w:hint="eastAsia" w:cs="Times New Roman"/>
                <w:kern w:val="2"/>
                <w:sz w:val="18"/>
                <w:szCs w:val="18"/>
                <w:lang w:val="en-US" w:eastAsia="zh-CN" w:bidi="ar-SA"/>
              </w:rPr>
              <w:t>终端</w:t>
            </w:r>
            <w:r>
              <w:rPr>
                <w:rFonts w:hint="eastAsia" w:ascii="Times New Roman" w:hAnsi="Times New Roman" w:eastAsia="宋体" w:cs="Times New Roman"/>
                <w:kern w:val="2"/>
                <w:sz w:val="18"/>
                <w:szCs w:val="18"/>
                <w:lang w:val="en-US" w:eastAsia="zh-CN" w:bidi="ar-SA"/>
              </w:rPr>
              <w:t>设备的安全配置和处理规则，例如</w:t>
            </w:r>
            <w:r>
              <w:rPr>
                <w:rFonts w:hint="eastAsia" w:cs="Times New Roman"/>
                <w:kern w:val="2"/>
                <w:sz w:val="18"/>
                <w:szCs w:val="18"/>
                <w:lang w:val="en-US" w:eastAsia="zh-CN" w:bidi="ar-SA"/>
              </w:rPr>
              <w:t>，在特定主题策略中</w:t>
            </w:r>
          </w:p>
          <w:p w14:paraId="581E14E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终端用户</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意识</w:t>
            </w:r>
            <w:r>
              <w:rPr>
                <w:rFonts w:hint="eastAsia" w:cs="Times New Roman"/>
                <w:kern w:val="2"/>
                <w:sz w:val="18"/>
                <w:szCs w:val="18"/>
                <w:lang w:val="en-US" w:eastAsia="zh-CN" w:bidi="ar-SA"/>
              </w:rPr>
              <w:t>教育</w:t>
            </w:r>
            <w:r>
              <w:rPr>
                <w:rFonts w:hint="eastAsia" w:ascii="Times New Roman" w:hAnsi="Times New Roman" w:eastAsia="宋体" w:cs="Times New Roman"/>
                <w:kern w:val="2"/>
                <w:sz w:val="18"/>
                <w:szCs w:val="18"/>
                <w:lang w:val="en-US" w:eastAsia="zh-CN" w:bidi="ar-SA"/>
              </w:rPr>
              <w:t>活动，涵盖</w:t>
            </w:r>
            <w:r>
              <w:rPr>
                <w:rFonts w:hint="eastAsia" w:cs="Times New Roman"/>
                <w:kern w:val="2"/>
                <w:sz w:val="18"/>
                <w:szCs w:val="18"/>
                <w:lang w:val="en-US" w:eastAsia="zh-CN" w:bidi="ar-SA"/>
              </w:rPr>
              <w:t>终端设备的安全要求和保护规程</w:t>
            </w:r>
          </w:p>
          <w:p w14:paraId="4F24960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适用时，</w:t>
            </w:r>
            <w:r>
              <w:rPr>
                <w:rFonts w:hint="eastAsia"/>
                <w:sz w:val="18"/>
                <w:szCs w:val="18"/>
              </w:rPr>
              <w:t>自携</w:t>
            </w:r>
            <w:r>
              <w:rPr>
                <w:rFonts w:hint="eastAsia" w:ascii="Times New Roman" w:hAnsi="Times New Roman" w:eastAsia="宋体" w:cs="Times New Roman"/>
                <w:kern w:val="2"/>
                <w:sz w:val="18"/>
                <w:szCs w:val="18"/>
                <w:lang w:val="en-US" w:eastAsia="zh-CN" w:bidi="ar-SA"/>
              </w:rPr>
              <w:t>设备</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BYOD</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上</w:t>
            </w:r>
            <w:r>
              <w:rPr>
                <w:rFonts w:hint="eastAsia" w:cs="Times New Roman"/>
                <w:kern w:val="2"/>
                <w:sz w:val="18"/>
                <w:szCs w:val="18"/>
                <w:lang w:val="en-US" w:eastAsia="zh-CN" w:bidi="ar-SA"/>
              </w:rPr>
              <w:t>隔离</w:t>
            </w:r>
            <w:r>
              <w:rPr>
                <w:rFonts w:hint="eastAsia" w:ascii="Times New Roman" w:hAnsi="Times New Roman" w:eastAsia="宋体" w:cs="Times New Roman"/>
                <w:kern w:val="2"/>
                <w:sz w:val="18"/>
                <w:szCs w:val="18"/>
                <w:lang w:val="en-US" w:eastAsia="zh-CN" w:bidi="ar-SA"/>
              </w:rPr>
              <w:t>和保护</w:t>
            </w:r>
            <w:r>
              <w:rPr>
                <w:rFonts w:hint="eastAsia" w:cs="Times New Roman"/>
                <w:kern w:val="2"/>
                <w:sz w:val="18"/>
                <w:szCs w:val="18"/>
                <w:lang w:val="en-US" w:eastAsia="zh-CN" w:bidi="ar-SA"/>
              </w:rPr>
              <w:t>业务</w:t>
            </w:r>
            <w:r>
              <w:rPr>
                <w:rFonts w:hint="eastAsia" w:ascii="Times New Roman" w:hAnsi="Times New Roman" w:eastAsia="宋体" w:cs="Times New Roman"/>
                <w:kern w:val="2"/>
                <w:sz w:val="18"/>
                <w:szCs w:val="18"/>
                <w:lang w:val="en-US" w:eastAsia="zh-CN" w:bidi="ar-SA"/>
              </w:rPr>
              <w:t>信息的规则</w:t>
            </w:r>
          </w:p>
          <w:p w14:paraId="17E26B3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对</w:t>
            </w:r>
            <w:r>
              <w:rPr>
                <w:rFonts w:hint="eastAsia" w:ascii="Times New Roman" w:hAnsi="Times New Roman" w:eastAsia="宋体" w:cs="Times New Roman"/>
                <w:kern w:val="2"/>
                <w:sz w:val="18"/>
                <w:szCs w:val="18"/>
                <w:lang w:val="en-US" w:eastAsia="zh-CN" w:bidi="ar-SA"/>
              </w:rPr>
              <w:t>允许远程使用的信息处理设备</w:t>
            </w:r>
            <w:r>
              <w:rPr>
                <w:rFonts w:hint="eastAsia" w:cs="Times New Roman"/>
                <w:kern w:val="2"/>
                <w:sz w:val="18"/>
                <w:szCs w:val="18"/>
                <w:lang w:val="en-US" w:eastAsia="zh-CN" w:bidi="ar-SA"/>
              </w:rPr>
              <w:t>的</w:t>
            </w:r>
            <w:r>
              <w:rPr>
                <w:rFonts w:hint="eastAsia" w:ascii="Times New Roman" w:hAnsi="Times New Roman" w:eastAsia="宋体" w:cs="Times New Roman"/>
                <w:kern w:val="2"/>
                <w:sz w:val="18"/>
                <w:szCs w:val="18"/>
                <w:lang w:val="en-US" w:eastAsia="zh-CN" w:bidi="ar-SA"/>
              </w:rPr>
              <w:t>安全设计</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w:t>
            </w:r>
            <w:r>
              <w:rPr>
                <w:rFonts w:hint="eastAsia"/>
                <w:sz w:val="18"/>
                <w:szCs w:val="18"/>
              </w:rPr>
              <w:t>自携</w:t>
            </w:r>
            <w:r>
              <w:rPr>
                <w:rFonts w:hint="eastAsia" w:ascii="Times New Roman" w:hAnsi="Times New Roman" w:eastAsia="宋体" w:cs="Times New Roman"/>
                <w:kern w:val="2"/>
                <w:sz w:val="18"/>
                <w:szCs w:val="18"/>
                <w:lang w:val="en-US" w:eastAsia="zh-CN" w:bidi="ar-SA"/>
              </w:rPr>
              <w:t>设备</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BYOD</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笔记本电脑</w:t>
            </w:r>
            <w:r>
              <w:rPr>
                <w:rFonts w:hint="eastAsia" w:cs="Times New Roman"/>
                <w:kern w:val="2"/>
                <w:sz w:val="18"/>
                <w:szCs w:val="18"/>
                <w:lang w:val="en-US" w:eastAsia="zh-CN" w:bidi="ar-SA"/>
              </w:rPr>
              <w:t>]</w:t>
            </w:r>
          </w:p>
        </w:tc>
      </w:tr>
      <w:tr w14:paraId="6FE1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4D15564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8.2 特许访问权限</w:t>
            </w:r>
          </w:p>
        </w:tc>
        <w:tc>
          <w:tcPr>
            <w:tcW w:w="807" w:type="dxa"/>
            <w:tcBorders>
              <w:tl2br w:val="nil"/>
              <w:tr2bl w:val="nil"/>
            </w:tcBorders>
            <w:vAlign w:val="top"/>
          </w:tcPr>
          <w:p w14:paraId="58CF813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2EC440E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3F116E7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特许</w:t>
            </w:r>
            <w:r>
              <w:rPr>
                <w:rFonts w:hint="default" w:ascii="Times New Roman" w:hAnsi="Times New Roman" w:eastAsia="宋体" w:cs="Times New Roman"/>
                <w:kern w:val="2"/>
                <w:sz w:val="18"/>
                <w:szCs w:val="18"/>
                <w:lang w:val="en-US" w:eastAsia="zh-CN" w:bidi="ar-SA"/>
              </w:rPr>
              <w:t>访问</w:t>
            </w:r>
            <w:r>
              <w:rPr>
                <w:rFonts w:hint="eastAsia" w:cs="Times New Roman"/>
                <w:kern w:val="2"/>
                <w:sz w:val="18"/>
                <w:szCs w:val="18"/>
                <w:lang w:val="en-US" w:eastAsia="zh-CN" w:bidi="ar-SA"/>
              </w:rPr>
              <w:t>权限</w:t>
            </w:r>
            <w:r>
              <w:rPr>
                <w:rFonts w:hint="default" w:ascii="Times New Roman" w:hAnsi="Times New Roman" w:eastAsia="宋体" w:cs="Times New Roman"/>
                <w:kern w:val="2"/>
                <w:sz w:val="18"/>
                <w:szCs w:val="18"/>
                <w:lang w:val="en-US" w:eastAsia="zh-CN" w:bidi="ar-SA"/>
              </w:rPr>
              <w:t>的</w:t>
            </w:r>
            <w:r>
              <w:rPr>
                <w:rFonts w:hint="eastAsia" w:cs="Times New Roman"/>
                <w:kern w:val="2"/>
                <w:sz w:val="18"/>
                <w:szCs w:val="18"/>
                <w:lang w:val="en-US" w:eastAsia="zh-CN" w:bidi="ar-SA"/>
              </w:rPr>
              <w:t>受限</w:t>
            </w:r>
            <w:r>
              <w:rPr>
                <w:rFonts w:hint="default" w:ascii="Times New Roman" w:hAnsi="Times New Roman" w:eastAsia="宋体" w:cs="Times New Roman"/>
                <w:kern w:val="2"/>
                <w:sz w:val="18"/>
                <w:szCs w:val="18"/>
                <w:lang w:val="en-US" w:eastAsia="zh-CN" w:bidi="ar-SA"/>
              </w:rPr>
              <w:t>分配、使用和</w:t>
            </w:r>
            <w:r>
              <w:rPr>
                <w:rFonts w:hint="eastAsia" w:cs="Times New Roman"/>
                <w:kern w:val="2"/>
                <w:sz w:val="18"/>
                <w:szCs w:val="18"/>
                <w:lang w:val="en-US" w:eastAsia="zh-CN" w:bidi="ar-SA"/>
              </w:rPr>
              <w:t>监视</w:t>
            </w:r>
            <w:r>
              <w:rPr>
                <w:rFonts w:hint="default" w:ascii="Times New Roman" w:hAnsi="Times New Roman" w:eastAsia="宋体" w:cs="Times New Roman"/>
                <w:kern w:val="2"/>
                <w:sz w:val="18"/>
                <w:szCs w:val="18"/>
                <w:lang w:val="en-US" w:eastAsia="zh-CN" w:bidi="ar-SA"/>
              </w:rPr>
              <w:t>的规则，例如</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在特定主题</w:t>
            </w:r>
            <w:r>
              <w:rPr>
                <w:rFonts w:hint="eastAsia" w:cs="Times New Roman"/>
                <w:kern w:val="2"/>
                <w:sz w:val="18"/>
                <w:szCs w:val="18"/>
                <w:lang w:val="en-US" w:eastAsia="zh-CN" w:bidi="ar-SA"/>
              </w:rPr>
              <w:t>策略</w:t>
            </w:r>
            <w:r>
              <w:rPr>
                <w:rFonts w:hint="default" w:ascii="Times New Roman" w:hAnsi="Times New Roman" w:eastAsia="宋体" w:cs="Times New Roman"/>
                <w:kern w:val="2"/>
                <w:sz w:val="18"/>
                <w:szCs w:val="18"/>
                <w:lang w:val="en-US" w:eastAsia="zh-CN" w:bidi="ar-SA"/>
              </w:rPr>
              <w:t>中</w:t>
            </w:r>
          </w:p>
          <w:p w14:paraId="4153F2F3">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鉴别</w:t>
            </w:r>
            <w:r>
              <w:rPr>
                <w:rFonts w:hint="default" w:ascii="Times New Roman" w:hAnsi="Times New Roman" w:eastAsia="宋体" w:cs="Times New Roman"/>
                <w:kern w:val="2"/>
                <w:sz w:val="18"/>
                <w:szCs w:val="18"/>
                <w:lang w:val="en-US" w:eastAsia="zh-CN" w:bidi="ar-SA"/>
              </w:rPr>
              <w:t>和</w:t>
            </w:r>
            <w:r>
              <w:rPr>
                <w:rFonts w:hint="eastAsia" w:cs="Times New Roman"/>
                <w:kern w:val="2"/>
                <w:sz w:val="18"/>
                <w:szCs w:val="18"/>
                <w:lang w:val="en-US" w:eastAsia="zh-CN" w:bidi="ar-SA"/>
              </w:rPr>
              <w:t>评审过程，以</w:t>
            </w:r>
            <w:r>
              <w:rPr>
                <w:rFonts w:hint="default" w:ascii="Times New Roman" w:hAnsi="Times New Roman" w:eastAsia="宋体" w:cs="Times New Roman"/>
                <w:kern w:val="2"/>
                <w:sz w:val="18"/>
                <w:szCs w:val="18"/>
                <w:lang w:val="en-US" w:eastAsia="zh-CN" w:bidi="ar-SA"/>
              </w:rPr>
              <w:t>管理</w:t>
            </w:r>
            <w:r>
              <w:rPr>
                <w:rFonts w:hint="eastAsia" w:cs="Times New Roman"/>
                <w:kern w:val="2"/>
                <w:sz w:val="18"/>
                <w:szCs w:val="18"/>
                <w:lang w:val="en-US" w:eastAsia="zh-CN" w:bidi="ar-SA"/>
              </w:rPr>
              <w:t>特许</w:t>
            </w:r>
            <w:r>
              <w:rPr>
                <w:rFonts w:hint="default" w:ascii="Times New Roman" w:hAnsi="Times New Roman" w:eastAsia="宋体" w:cs="Times New Roman"/>
                <w:kern w:val="2"/>
                <w:sz w:val="18"/>
                <w:szCs w:val="18"/>
                <w:lang w:val="en-US" w:eastAsia="zh-CN" w:bidi="ar-SA"/>
              </w:rPr>
              <w:t>访问权限</w:t>
            </w:r>
          </w:p>
        </w:tc>
      </w:tr>
      <w:tr w14:paraId="6F7C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6D9C12F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8.3 信息访问限制</w:t>
            </w:r>
          </w:p>
        </w:tc>
        <w:tc>
          <w:tcPr>
            <w:tcW w:w="807" w:type="dxa"/>
            <w:tcBorders>
              <w:tl2br w:val="nil"/>
              <w:tr2bl w:val="nil"/>
            </w:tcBorders>
            <w:vAlign w:val="top"/>
          </w:tcPr>
          <w:p w14:paraId="22A1E722">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2D4ECF2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7AB6F4F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ab/>
            </w:r>
            <w:r>
              <w:rPr>
                <w:rFonts w:hint="eastAsia" w:cs="Times New Roman"/>
                <w:kern w:val="2"/>
                <w:sz w:val="18"/>
                <w:szCs w:val="18"/>
                <w:lang w:val="en-US" w:eastAsia="zh-CN" w:bidi="ar-SA"/>
              </w:rPr>
              <w:t>限制</w:t>
            </w:r>
            <w:r>
              <w:rPr>
                <w:rFonts w:hint="default" w:ascii="Times New Roman" w:hAnsi="Times New Roman" w:eastAsia="宋体" w:cs="Times New Roman"/>
                <w:kern w:val="2"/>
                <w:sz w:val="18"/>
                <w:szCs w:val="18"/>
                <w:lang w:val="en-US" w:eastAsia="zh-CN" w:bidi="ar-SA"/>
              </w:rPr>
              <w:t>访问信息和其他相关资产的规则，例如</w:t>
            </w:r>
            <w:r>
              <w:rPr>
                <w:rFonts w:hint="eastAsia" w:cs="Times New Roman"/>
                <w:kern w:val="2"/>
                <w:sz w:val="18"/>
                <w:szCs w:val="18"/>
                <w:lang w:val="en-US" w:eastAsia="zh-CN" w:bidi="ar-SA"/>
              </w:rPr>
              <w:t>，在特定主题策略中</w:t>
            </w:r>
          </w:p>
          <w:p w14:paraId="734F9FF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ab/>
            </w:r>
            <w:r>
              <w:rPr>
                <w:rFonts w:hint="default" w:ascii="Times New Roman" w:hAnsi="Times New Roman" w:eastAsia="宋体" w:cs="Times New Roman"/>
                <w:kern w:val="2"/>
                <w:sz w:val="18"/>
                <w:szCs w:val="18"/>
                <w:lang w:val="en-US" w:eastAsia="zh-CN" w:bidi="ar-SA"/>
              </w:rPr>
              <w:t>在敏感信息的整个</w:t>
            </w:r>
            <w:r>
              <w:rPr>
                <w:rFonts w:hint="eastAsia" w:cs="Times New Roman"/>
                <w:kern w:val="2"/>
                <w:sz w:val="18"/>
                <w:szCs w:val="18"/>
                <w:lang w:val="en-US" w:eastAsia="zh-CN" w:bidi="ar-SA"/>
              </w:rPr>
              <w:t>生存</w:t>
            </w:r>
            <w:r>
              <w:rPr>
                <w:rFonts w:hint="default" w:ascii="Times New Roman" w:hAnsi="Times New Roman" w:eastAsia="宋体" w:cs="Times New Roman"/>
                <w:kern w:val="2"/>
                <w:sz w:val="18"/>
                <w:szCs w:val="18"/>
                <w:lang w:val="en-US" w:eastAsia="zh-CN" w:bidi="ar-SA"/>
              </w:rPr>
              <w:t>周期</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即创建、处理、存储、传输、处置</w:t>
            </w:r>
            <w:r>
              <w:rPr>
                <w:rFonts w:hint="eastAsia" w:cs="Times New Roman"/>
                <w:kern w:val="2"/>
                <w:sz w:val="18"/>
                <w:szCs w:val="18"/>
                <w:lang w:val="en-US" w:eastAsia="zh-CN" w:bidi="ar-SA"/>
              </w:rPr>
              <w:t>）内</w:t>
            </w:r>
            <w:r>
              <w:rPr>
                <w:rFonts w:hint="default" w:ascii="Times New Roman" w:hAnsi="Times New Roman" w:eastAsia="宋体" w:cs="Times New Roman"/>
                <w:kern w:val="2"/>
                <w:sz w:val="18"/>
                <w:szCs w:val="18"/>
                <w:lang w:val="en-US" w:eastAsia="zh-CN" w:bidi="ar-SA"/>
              </w:rPr>
              <w:t>保护对其访问的访问管理技术和</w:t>
            </w:r>
            <w:r>
              <w:rPr>
                <w:rFonts w:hint="eastAsia" w:cs="Times New Roman"/>
                <w:kern w:val="2"/>
                <w:sz w:val="18"/>
                <w:szCs w:val="18"/>
                <w:lang w:val="en-US" w:eastAsia="zh-CN" w:bidi="ar-SA"/>
              </w:rPr>
              <w:t>过程</w:t>
            </w:r>
          </w:p>
        </w:tc>
      </w:tr>
      <w:tr w14:paraId="0924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B22EC29">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8.4 源代码的访问</w:t>
            </w:r>
          </w:p>
        </w:tc>
        <w:tc>
          <w:tcPr>
            <w:tcW w:w="807" w:type="dxa"/>
            <w:tcBorders>
              <w:tl2br w:val="nil"/>
              <w:tr2bl w:val="nil"/>
            </w:tcBorders>
            <w:vAlign w:val="top"/>
          </w:tcPr>
          <w:p w14:paraId="0300D76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27F74AC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0E74793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ab/>
            </w:r>
            <w:r>
              <w:rPr>
                <w:rFonts w:hint="default" w:ascii="Times New Roman" w:hAnsi="Times New Roman" w:eastAsia="宋体" w:cs="Times New Roman"/>
                <w:kern w:val="2"/>
                <w:sz w:val="18"/>
                <w:szCs w:val="18"/>
                <w:lang w:val="en-US" w:eastAsia="zh-CN" w:bidi="ar-SA"/>
              </w:rPr>
              <w:t>源代码</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开发工具和软件库</w:t>
            </w:r>
            <w:r>
              <w:rPr>
                <w:rFonts w:hint="eastAsia" w:cs="Times New Roman"/>
                <w:kern w:val="2"/>
                <w:sz w:val="18"/>
                <w:szCs w:val="18"/>
                <w:lang w:val="en-US" w:eastAsia="zh-CN" w:bidi="ar-SA"/>
              </w:rPr>
              <w:t>的（读、写）访问管理规程</w:t>
            </w:r>
          </w:p>
        </w:tc>
      </w:tr>
      <w:tr w14:paraId="2591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B2DDC0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8.5 安全鉴别</w:t>
            </w:r>
          </w:p>
        </w:tc>
        <w:tc>
          <w:tcPr>
            <w:tcW w:w="807" w:type="dxa"/>
            <w:tcBorders>
              <w:tl2br w:val="nil"/>
              <w:tr2bl w:val="nil"/>
            </w:tcBorders>
            <w:vAlign w:val="top"/>
          </w:tcPr>
          <w:p w14:paraId="6F92481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78700C22">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7648667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关于访问控制的</w:t>
            </w:r>
            <w:r>
              <w:rPr>
                <w:rFonts w:hint="eastAsia" w:cs="Times New Roman"/>
                <w:kern w:val="2"/>
                <w:sz w:val="18"/>
                <w:szCs w:val="18"/>
                <w:lang w:val="en-US" w:eastAsia="zh-CN" w:bidi="ar-SA"/>
              </w:rPr>
              <w:t>鉴别</w:t>
            </w:r>
            <w:r>
              <w:rPr>
                <w:rFonts w:hint="default" w:ascii="Times New Roman" w:hAnsi="Times New Roman" w:eastAsia="宋体" w:cs="Times New Roman"/>
                <w:kern w:val="2"/>
                <w:sz w:val="18"/>
                <w:szCs w:val="18"/>
                <w:lang w:val="en-US" w:eastAsia="zh-CN" w:bidi="ar-SA"/>
              </w:rPr>
              <w:t>技术和</w:t>
            </w:r>
            <w:r>
              <w:rPr>
                <w:rFonts w:hint="eastAsia" w:cs="Times New Roman"/>
                <w:kern w:val="2"/>
                <w:sz w:val="18"/>
                <w:szCs w:val="18"/>
                <w:lang w:val="en-US" w:eastAsia="zh-CN" w:bidi="ar-SA"/>
              </w:rPr>
              <w:t>规程</w:t>
            </w:r>
            <w:r>
              <w:rPr>
                <w:rFonts w:hint="default" w:ascii="Times New Roman" w:hAnsi="Times New Roman" w:eastAsia="宋体" w:cs="Times New Roman"/>
                <w:kern w:val="2"/>
                <w:sz w:val="18"/>
                <w:szCs w:val="18"/>
                <w:lang w:val="en-US" w:eastAsia="zh-CN" w:bidi="ar-SA"/>
              </w:rPr>
              <w:t>的规则，例如</w:t>
            </w:r>
            <w:r>
              <w:rPr>
                <w:rFonts w:hint="eastAsia" w:cs="Times New Roman"/>
                <w:kern w:val="2"/>
                <w:sz w:val="18"/>
                <w:szCs w:val="18"/>
                <w:lang w:val="en-US" w:eastAsia="zh-CN" w:bidi="ar-SA"/>
              </w:rPr>
              <w:t>，在特定主题策略中</w:t>
            </w:r>
          </w:p>
          <w:p w14:paraId="04FFEB6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基于风险的决策和相应的系统或应用程序登录</w:t>
            </w:r>
            <w:r>
              <w:rPr>
                <w:rFonts w:hint="eastAsia" w:cs="Times New Roman"/>
                <w:kern w:val="2"/>
                <w:sz w:val="18"/>
                <w:szCs w:val="18"/>
                <w:lang w:val="en-US" w:eastAsia="zh-CN" w:bidi="ar-SA"/>
              </w:rPr>
              <w:t>规程的</w:t>
            </w:r>
            <w:r>
              <w:rPr>
                <w:rFonts w:hint="default" w:ascii="Times New Roman" w:hAnsi="Times New Roman" w:eastAsia="宋体" w:cs="Times New Roman"/>
                <w:kern w:val="2"/>
                <w:sz w:val="18"/>
                <w:szCs w:val="18"/>
                <w:lang w:val="en-US" w:eastAsia="zh-CN" w:bidi="ar-SA"/>
              </w:rPr>
              <w:t>的</w:t>
            </w:r>
            <w:r>
              <w:rPr>
                <w:rFonts w:hint="eastAsia" w:cs="Times New Roman"/>
                <w:kern w:val="2"/>
                <w:sz w:val="18"/>
                <w:szCs w:val="18"/>
                <w:lang w:val="en-US" w:eastAsia="zh-CN" w:bidi="ar-SA"/>
              </w:rPr>
              <w:t>实施</w:t>
            </w:r>
          </w:p>
          <w:p w14:paraId="41003F8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对关键信息系统使用强</w:t>
            </w:r>
            <w:r>
              <w:rPr>
                <w:rFonts w:hint="eastAsia" w:cs="Times New Roman"/>
                <w:kern w:val="2"/>
                <w:sz w:val="18"/>
                <w:szCs w:val="18"/>
                <w:lang w:val="en-US" w:eastAsia="zh-CN" w:bidi="ar-SA"/>
              </w:rPr>
              <w:t>鉴别</w:t>
            </w:r>
            <w:r>
              <w:rPr>
                <w:rFonts w:hint="default" w:ascii="Times New Roman" w:hAnsi="Times New Roman" w:eastAsia="宋体" w:cs="Times New Roman"/>
                <w:kern w:val="2"/>
                <w:sz w:val="18"/>
                <w:szCs w:val="18"/>
                <w:lang w:val="en-US" w:eastAsia="zh-CN" w:bidi="ar-SA"/>
              </w:rPr>
              <w:t>或多因素</w:t>
            </w:r>
            <w:r>
              <w:rPr>
                <w:rFonts w:hint="eastAsia" w:cs="Times New Roman"/>
                <w:kern w:val="2"/>
                <w:sz w:val="18"/>
                <w:szCs w:val="18"/>
                <w:lang w:val="en-US" w:eastAsia="zh-CN" w:bidi="ar-SA"/>
              </w:rPr>
              <w:t>鉴别</w:t>
            </w:r>
          </w:p>
        </w:tc>
      </w:tr>
      <w:tr w14:paraId="623E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3535A1E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8.6 容量管理</w:t>
            </w:r>
          </w:p>
        </w:tc>
        <w:tc>
          <w:tcPr>
            <w:tcW w:w="807" w:type="dxa"/>
            <w:tcBorders>
              <w:tl2br w:val="nil"/>
              <w:tr2bl w:val="nil"/>
            </w:tcBorders>
            <w:vAlign w:val="top"/>
          </w:tcPr>
          <w:p w14:paraId="36456AD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6EF889E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2EFE139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当前和预期的</w:t>
            </w:r>
            <w:r>
              <w:rPr>
                <w:rFonts w:hint="eastAsia" w:cs="Times New Roman"/>
                <w:kern w:val="2"/>
                <w:sz w:val="18"/>
                <w:szCs w:val="18"/>
                <w:lang w:val="en-US" w:eastAsia="zh-CN" w:bidi="ar-SA"/>
              </w:rPr>
              <w:t>容量需求</w:t>
            </w:r>
          </w:p>
          <w:p w14:paraId="0DEE614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测量</w:t>
            </w:r>
            <w:r>
              <w:rPr>
                <w:rFonts w:hint="default" w:ascii="Times New Roman" w:hAnsi="Times New Roman" w:eastAsia="宋体" w:cs="Times New Roman"/>
                <w:kern w:val="2"/>
                <w:sz w:val="18"/>
                <w:szCs w:val="18"/>
                <w:lang w:val="en-US" w:eastAsia="zh-CN" w:bidi="ar-SA"/>
              </w:rPr>
              <w:t>资源的使用情况，例如</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信息处理设施、人力资源、办公室和其他设施</w:t>
            </w:r>
          </w:p>
          <w:p w14:paraId="256259B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提供</w:t>
            </w:r>
            <w:r>
              <w:rPr>
                <w:rFonts w:hint="eastAsia" w:cs="Times New Roman"/>
                <w:kern w:val="2"/>
                <w:sz w:val="18"/>
                <w:szCs w:val="18"/>
                <w:lang w:val="en-US" w:eastAsia="zh-CN" w:bidi="ar-SA"/>
              </w:rPr>
              <w:t>充足</w:t>
            </w:r>
            <w:r>
              <w:rPr>
                <w:rFonts w:hint="default" w:ascii="Times New Roman" w:hAnsi="Times New Roman" w:eastAsia="宋体" w:cs="Times New Roman"/>
                <w:kern w:val="2"/>
                <w:sz w:val="18"/>
                <w:szCs w:val="18"/>
                <w:lang w:val="en-US" w:eastAsia="zh-CN" w:bidi="ar-SA"/>
              </w:rPr>
              <w:t>容量或减少容量需求的</w:t>
            </w:r>
            <w:r>
              <w:rPr>
                <w:rFonts w:hint="eastAsia" w:cs="Times New Roman"/>
                <w:kern w:val="2"/>
                <w:sz w:val="18"/>
                <w:szCs w:val="18"/>
                <w:lang w:val="en-US" w:eastAsia="zh-CN" w:bidi="ar-SA"/>
              </w:rPr>
              <w:t>规程</w:t>
            </w:r>
          </w:p>
        </w:tc>
      </w:tr>
      <w:tr w14:paraId="5879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79B79F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8.7 恶意软件防范</w:t>
            </w:r>
          </w:p>
        </w:tc>
        <w:tc>
          <w:tcPr>
            <w:tcW w:w="807" w:type="dxa"/>
            <w:tcBorders>
              <w:tl2br w:val="nil"/>
              <w:tr2bl w:val="nil"/>
            </w:tcBorders>
            <w:vAlign w:val="top"/>
          </w:tcPr>
          <w:p w14:paraId="02CA99F9">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4B67E76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4928ED3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恶意软件</w:t>
            </w:r>
            <w:r>
              <w:rPr>
                <w:rFonts w:hint="eastAsia" w:cs="Times New Roman"/>
                <w:kern w:val="2"/>
                <w:sz w:val="18"/>
                <w:szCs w:val="18"/>
                <w:lang w:val="en-US" w:eastAsia="zh-CN" w:bidi="ar-SA"/>
              </w:rPr>
              <w:t>防范</w:t>
            </w:r>
            <w:r>
              <w:rPr>
                <w:rFonts w:hint="default" w:ascii="Times New Roman" w:hAnsi="Times New Roman" w:eastAsia="宋体" w:cs="Times New Roman"/>
                <w:kern w:val="2"/>
                <w:sz w:val="18"/>
                <w:szCs w:val="18"/>
                <w:lang w:val="en-US" w:eastAsia="zh-CN" w:bidi="ar-SA"/>
              </w:rPr>
              <w:t>规则</w:t>
            </w:r>
          </w:p>
          <w:p w14:paraId="02D4AAD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基于风险的资产覆盖</w:t>
            </w:r>
            <w:r>
              <w:rPr>
                <w:rFonts w:hint="eastAsia" w:cs="Times New Roman"/>
                <w:kern w:val="2"/>
                <w:sz w:val="18"/>
                <w:szCs w:val="18"/>
                <w:lang w:val="en-US" w:eastAsia="zh-CN" w:bidi="ar-SA"/>
              </w:rPr>
              <w:t>以及相应的</w:t>
            </w:r>
            <w:r>
              <w:rPr>
                <w:rFonts w:hint="default" w:ascii="Times New Roman" w:hAnsi="Times New Roman" w:eastAsia="宋体" w:cs="Times New Roman"/>
                <w:kern w:val="2"/>
                <w:sz w:val="18"/>
                <w:szCs w:val="18"/>
                <w:lang w:val="en-US" w:eastAsia="zh-CN" w:bidi="ar-SA"/>
              </w:rPr>
              <w:t>恶意软件检测软件配置</w:t>
            </w:r>
          </w:p>
          <w:p w14:paraId="236D3D6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保护信息和其他资源免受恶意软件侵害的其他</w:t>
            </w:r>
            <w:r>
              <w:rPr>
                <w:rFonts w:hint="eastAsia" w:cs="Times New Roman"/>
                <w:kern w:val="2"/>
                <w:sz w:val="18"/>
                <w:szCs w:val="18"/>
                <w:lang w:val="en-US" w:eastAsia="zh-CN" w:bidi="ar-SA"/>
              </w:rPr>
              <w:t>规程</w:t>
            </w:r>
            <w:r>
              <w:rPr>
                <w:rFonts w:hint="default" w:ascii="Times New Roman" w:hAnsi="Times New Roman" w:eastAsia="宋体" w:cs="Times New Roman"/>
                <w:kern w:val="2"/>
                <w:sz w:val="18"/>
                <w:szCs w:val="18"/>
                <w:lang w:val="en-US" w:eastAsia="zh-CN" w:bidi="ar-SA"/>
              </w:rPr>
              <w:t>和措施</w:t>
            </w:r>
          </w:p>
          <w:p w14:paraId="18EFFCD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针对</w:t>
            </w:r>
            <w:r>
              <w:rPr>
                <w:rFonts w:hint="default" w:ascii="Times New Roman" w:hAnsi="Times New Roman" w:eastAsia="宋体" w:cs="Times New Roman"/>
                <w:kern w:val="2"/>
                <w:sz w:val="18"/>
                <w:szCs w:val="18"/>
                <w:lang w:val="en-US" w:eastAsia="zh-CN" w:bidi="ar-SA"/>
              </w:rPr>
              <w:t>恶意软件的终端用户意识</w:t>
            </w:r>
            <w:r>
              <w:rPr>
                <w:rFonts w:hint="eastAsia" w:cs="Times New Roman"/>
                <w:kern w:val="2"/>
                <w:sz w:val="18"/>
                <w:szCs w:val="18"/>
                <w:lang w:val="en-US" w:eastAsia="zh-CN" w:bidi="ar-SA"/>
              </w:rPr>
              <w:t>教育</w:t>
            </w:r>
            <w:r>
              <w:rPr>
                <w:rFonts w:hint="default" w:ascii="Times New Roman" w:hAnsi="Times New Roman" w:eastAsia="宋体" w:cs="Times New Roman"/>
                <w:kern w:val="2"/>
                <w:sz w:val="18"/>
                <w:szCs w:val="18"/>
                <w:lang w:val="en-US" w:eastAsia="zh-CN" w:bidi="ar-SA"/>
              </w:rPr>
              <w:t>活动</w:t>
            </w:r>
          </w:p>
        </w:tc>
      </w:tr>
      <w:tr w14:paraId="0335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04A62E7">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8.8 技术脆弱性管理</w:t>
            </w:r>
          </w:p>
        </w:tc>
        <w:tc>
          <w:tcPr>
            <w:tcW w:w="807" w:type="dxa"/>
            <w:tcBorders>
              <w:tl2br w:val="nil"/>
              <w:tr2bl w:val="nil"/>
            </w:tcBorders>
            <w:vAlign w:val="top"/>
          </w:tcPr>
          <w:p w14:paraId="1364265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38823DB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36CB0F7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收集和管理</w:t>
            </w:r>
            <w:r>
              <w:rPr>
                <w:rFonts w:hint="eastAsia" w:cs="Times New Roman"/>
                <w:kern w:val="2"/>
                <w:sz w:val="18"/>
                <w:szCs w:val="18"/>
                <w:lang w:val="en-US" w:eastAsia="zh-CN" w:bidi="ar-SA"/>
              </w:rPr>
              <w:t>在用</w:t>
            </w:r>
            <w:r>
              <w:rPr>
                <w:rFonts w:hint="default" w:ascii="Times New Roman" w:hAnsi="Times New Roman" w:eastAsia="宋体" w:cs="Times New Roman"/>
                <w:kern w:val="2"/>
                <w:sz w:val="18"/>
                <w:szCs w:val="18"/>
                <w:lang w:val="en-US" w:eastAsia="zh-CN" w:bidi="ar-SA"/>
              </w:rPr>
              <w:t>信息系统的技术</w:t>
            </w:r>
            <w:r>
              <w:rPr>
                <w:rFonts w:hint="eastAsia" w:cs="Times New Roman"/>
                <w:kern w:val="2"/>
                <w:sz w:val="18"/>
                <w:szCs w:val="18"/>
                <w:lang w:val="en-US" w:eastAsia="zh-CN" w:bidi="ar-SA"/>
              </w:rPr>
              <w:t>脆弱性</w:t>
            </w:r>
            <w:r>
              <w:rPr>
                <w:rFonts w:hint="default" w:ascii="Times New Roman" w:hAnsi="Times New Roman" w:eastAsia="宋体" w:cs="Times New Roman"/>
                <w:kern w:val="2"/>
                <w:sz w:val="18"/>
                <w:szCs w:val="18"/>
                <w:lang w:val="en-US" w:eastAsia="zh-CN" w:bidi="ar-SA"/>
              </w:rPr>
              <w:t>信息</w:t>
            </w:r>
          </w:p>
          <w:p w14:paraId="7AC7E67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脆弱性</w:t>
            </w:r>
            <w:r>
              <w:rPr>
                <w:rFonts w:hint="default" w:ascii="Times New Roman" w:hAnsi="Times New Roman" w:eastAsia="宋体" w:cs="Times New Roman"/>
                <w:kern w:val="2"/>
                <w:sz w:val="18"/>
                <w:szCs w:val="18"/>
                <w:lang w:val="en-US" w:eastAsia="zh-CN" w:bidi="ar-SA"/>
              </w:rPr>
              <w:t>扫描</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定期执行</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或渗透测试的结果</w:t>
            </w:r>
          </w:p>
          <w:p w14:paraId="64681BC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对组织暴露于技术</w:t>
            </w:r>
            <w:r>
              <w:rPr>
                <w:rFonts w:hint="eastAsia" w:cs="Times New Roman"/>
                <w:kern w:val="2"/>
                <w:sz w:val="18"/>
                <w:szCs w:val="18"/>
                <w:lang w:val="en-US" w:eastAsia="zh-CN" w:bidi="ar-SA"/>
              </w:rPr>
              <w:t>脆弱性</w:t>
            </w:r>
            <w:r>
              <w:rPr>
                <w:rFonts w:hint="default" w:ascii="Times New Roman" w:hAnsi="Times New Roman" w:eastAsia="宋体" w:cs="Times New Roman"/>
                <w:kern w:val="2"/>
                <w:sz w:val="18"/>
                <w:szCs w:val="18"/>
                <w:lang w:val="en-US" w:eastAsia="zh-CN" w:bidi="ar-SA"/>
              </w:rPr>
              <w:t>的评估</w:t>
            </w:r>
            <w:r>
              <w:rPr>
                <w:rFonts w:hint="eastAsia" w:cs="Times New Roman"/>
                <w:kern w:val="2"/>
                <w:sz w:val="18"/>
                <w:szCs w:val="18"/>
                <w:lang w:val="en-US" w:eastAsia="zh-CN" w:bidi="ar-SA"/>
              </w:rPr>
              <w:t>以及</w:t>
            </w:r>
            <w:r>
              <w:rPr>
                <w:rFonts w:hint="default" w:ascii="Times New Roman" w:hAnsi="Times New Roman" w:eastAsia="宋体" w:cs="Times New Roman"/>
                <w:kern w:val="2"/>
                <w:sz w:val="18"/>
                <w:szCs w:val="18"/>
                <w:lang w:val="en-US" w:eastAsia="zh-CN" w:bidi="ar-SA"/>
              </w:rPr>
              <w:t>计划的缓解措施</w:t>
            </w:r>
          </w:p>
          <w:p w14:paraId="1D1CF26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软件更新</w:t>
            </w:r>
            <w:r>
              <w:rPr>
                <w:rFonts w:hint="eastAsia" w:cs="Times New Roman"/>
                <w:kern w:val="2"/>
                <w:sz w:val="18"/>
                <w:szCs w:val="18"/>
                <w:lang w:val="en-US" w:eastAsia="zh-CN" w:bidi="ar-SA"/>
              </w:rPr>
              <w:t>过程，</w:t>
            </w:r>
            <w:r>
              <w:rPr>
                <w:rFonts w:hint="default" w:ascii="Times New Roman" w:hAnsi="Times New Roman" w:eastAsia="宋体" w:cs="Times New Roman"/>
                <w:kern w:val="2"/>
                <w:sz w:val="18"/>
                <w:szCs w:val="18"/>
                <w:lang w:val="en-US" w:eastAsia="zh-CN" w:bidi="ar-SA"/>
              </w:rPr>
              <w:t>确保安装最新的</w:t>
            </w:r>
            <w:r>
              <w:rPr>
                <w:rFonts w:hint="eastAsia" w:cs="Times New Roman"/>
                <w:kern w:val="2"/>
                <w:sz w:val="18"/>
                <w:szCs w:val="18"/>
                <w:lang w:val="en-US" w:eastAsia="zh-CN" w:bidi="ar-SA"/>
              </w:rPr>
              <w:t>且获批准的</w:t>
            </w:r>
            <w:r>
              <w:rPr>
                <w:rFonts w:hint="default" w:ascii="Times New Roman" w:hAnsi="Times New Roman" w:eastAsia="宋体" w:cs="Times New Roman"/>
                <w:kern w:val="2"/>
                <w:sz w:val="18"/>
                <w:szCs w:val="18"/>
                <w:lang w:val="en-US" w:eastAsia="zh-CN" w:bidi="ar-SA"/>
              </w:rPr>
              <w:t>补丁和应用程序更新</w:t>
            </w:r>
          </w:p>
        </w:tc>
      </w:tr>
      <w:tr w14:paraId="4F9B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4FDACE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8.9 配置管理</w:t>
            </w:r>
          </w:p>
        </w:tc>
        <w:tc>
          <w:tcPr>
            <w:tcW w:w="807" w:type="dxa"/>
            <w:tcBorders>
              <w:tl2br w:val="nil"/>
              <w:tr2bl w:val="nil"/>
            </w:tcBorders>
            <w:vAlign w:val="top"/>
          </w:tcPr>
          <w:p w14:paraId="1F3423F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768E43F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3D60E2F3">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硬件、软件、</w:t>
            </w:r>
            <w:r>
              <w:rPr>
                <w:rFonts w:hint="eastAsia" w:cs="Times New Roman"/>
                <w:kern w:val="2"/>
                <w:sz w:val="18"/>
                <w:szCs w:val="18"/>
                <w:lang w:val="en-US" w:eastAsia="zh-CN" w:bidi="ar-SA"/>
              </w:rPr>
              <w:t>服务</w:t>
            </w:r>
            <w:r>
              <w:rPr>
                <w:rFonts w:hint="default" w:ascii="Times New Roman" w:hAnsi="Times New Roman" w:eastAsia="宋体" w:cs="Times New Roman"/>
                <w:kern w:val="2"/>
                <w:sz w:val="18"/>
                <w:szCs w:val="18"/>
                <w:lang w:val="en-US" w:eastAsia="zh-CN" w:bidi="ar-SA"/>
              </w:rPr>
              <w:t>和网络的配置规则，包括安全配置</w:t>
            </w:r>
          </w:p>
          <w:p w14:paraId="15461E9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管理、实施或应用、监视和评审配置的过程</w:t>
            </w:r>
          </w:p>
          <w:p w14:paraId="5E1F9AA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硬件、软件、服务和网络安全配置的标准模板</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即加固</w:t>
            </w:r>
            <w:r>
              <w:rPr>
                <w:rFonts w:hint="eastAsia" w:cs="Times New Roman"/>
                <w:kern w:val="2"/>
                <w:sz w:val="18"/>
                <w:szCs w:val="18"/>
                <w:lang w:val="en-US" w:eastAsia="zh-CN" w:bidi="ar-SA"/>
              </w:rPr>
              <w:t>）</w:t>
            </w:r>
          </w:p>
        </w:tc>
      </w:tr>
      <w:tr w14:paraId="4C52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07D915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8.1</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 xml:space="preserve"> 信息删除</w:t>
            </w:r>
          </w:p>
        </w:tc>
        <w:tc>
          <w:tcPr>
            <w:tcW w:w="807" w:type="dxa"/>
            <w:tcBorders>
              <w:tl2br w:val="nil"/>
              <w:tr2bl w:val="nil"/>
            </w:tcBorders>
            <w:vAlign w:val="top"/>
          </w:tcPr>
          <w:p w14:paraId="149CDD8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4F845D4E">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23D9661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及时删除存储在信息系统、设备或任何其他存储</w:t>
            </w:r>
            <w:r>
              <w:rPr>
                <w:rFonts w:hint="eastAsia" w:cs="Times New Roman"/>
                <w:kern w:val="2"/>
                <w:sz w:val="18"/>
                <w:szCs w:val="18"/>
                <w:lang w:val="en-US" w:eastAsia="zh-CN" w:bidi="ar-SA"/>
              </w:rPr>
              <w:t>媒体</w:t>
            </w:r>
            <w:r>
              <w:rPr>
                <w:rFonts w:hint="default" w:ascii="Times New Roman" w:hAnsi="Times New Roman" w:eastAsia="宋体" w:cs="Times New Roman"/>
                <w:kern w:val="2"/>
                <w:sz w:val="18"/>
                <w:szCs w:val="18"/>
                <w:lang w:val="en-US" w:eastAsia="zh-CN" w:bidi="ar-SA"/>
              </w:rPr>
              <w:t>中的信息的规则，例如</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根据</w:t>
            </w:r>
            <w:r>
              <w:rPr>
                <w:rFonts w:hint="eastAsia" w:cs="Times New Roman"/>
                <w:kern w:val="2"/>
                <w:sz w:val="18"/>
                <w:szCs w:val="18"/>
                <w:lang w:val="en-US" w:eastAsia="zh-CN" w:bidi="ar-SA"/>
              </w:rPr>
              <w:t>组织数据保留的</w:t>
            </w:r>
            <w:r>
              <w:rPr>
                <w:rFonts w:hint="default" w:ascii="Times New Roman" w:hAnsi="Times New Roman" w:eastAsia="宋体" w:cs="Times New Roman"/>
                <w:kern w:val="2"/>
                <w:sz w:val="18"/>
                <w:szCs w:val="18"/>
                <w:lang w:val="en-US" w:eastAsia="zh-CN" w:bidi="ar-SA"/>
              </w:rPr>
              <w:t>特定主题</w:t>
            </w:r>
            <w:r>
              <w:rPr>
                <w:rFonts w:hint="eastAsia" w:cs="Times New Roman"/>
                <w:kern w:val="2"/>
                <w:sz w:val="18"/>
                <w:szCs w:val="18"/>
                <w:lang w:val="en-US" w:eastAsia="zh-CN" w:bidi="ar-SA"/>
              </w:rPr>
              <w:t>策略</w:t>
            </w:r>
          </w:p>
          <w:p w14:paraId="5B4EA5B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安全删除系统、应用程序和服务</w:t>
            </w:r>
            <w:r>
              <w:rPr>
                <w:rFonts w:hint="eastAsia" w:cs="Times New Roman"/>
                <w:kern w:val="2"/>
                <w:sz w:val="18"/>
                <w:szCs w:val="18"/>
                <w:lang w:val="en-US" w:eastAsia="zh-CN" w:bidi="ar-SA"/>
              </w:rPr>
              <w:t>中</w:t>
            </w:r>
            <w:r>
              <w:rPr>
                <w:rFonts w:hint="default" w:ascii="Times New Roman" w:hAnsi="Times New Roman" w:eastAsia="宋体" w:cs="Times New Roman"/>
                <w:kern w:val="2"/>
                <w:sz w:val="18"/>
                <w:szCs w:val="18"/>
                <w:lang w:val="en-US" w:eastAsia="zh-CN" w:bidi="ar-SA"/>
              </w:rPr>
              <w:t>敏感信息的</w:t>
            </w:r>
            <w:r>
              <w:rPr>
                <w:rFonts w:hint="eastAsia" w:cs="Times New Roman"/>
                <w:kern w:val="2"/>
                <w:sz w:val="18"/>
                <w:szCs w:val="18"/>
                <w:lang w:val="en-US" w:eastAsia="zh-CN" w:bidi="ar-SA"/>
              </w:rPr>
              <w:t>规程</w:t>
            </w:r>
          </w:p>
          <w:p w14:paraId="7B1F0AA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当第三方存储组织的信息时，包含信息删除条款的</w:t>
            </w:r>
            <w:r>
              <w:rPr>
                <w:rFonts w:hint="default" w:ascii="Times New Roman" w:hAnsi="Times New Roman" w:eastAsia="宋体" w:cs="Times New Roman"/>
                <w:kern w:val="2"/>
                <w:sz w:val="18"/>
                <w:szCs w:val="18"/>
                <w:lang w:val="en-US" w:eastAsia="zh-CN" w:bidi="ar-SA"/>
              </w:rPr>
              <w:t>第三方协议</w:t>
            </w:r>
          </w:p>
        </w:tc>
      </w:tr>
      <w:tr w14:paraId="46E1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491338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8.11 数据脱敏</w:t>
            </w:r>
          </w:p>
        </w:tc>
        <w:tc>
          <w:tcPr>
            <w:tcW w:w="807" w:type="dxa"/>
            <w:tcBorders>
              <w:tl2br w:val="nil"/>
              <w:tr2bl w:val="nil"/>
            </w:tcBorders>
            <w:vAlign w:val="top"/>
          </w:tcPr>
          <w:p w14:paraId="38A34E3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5439841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21209998">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数据</w:t>
            </w:r>
            <w:r>
              <w:rPr>
                <w:rFonts w:hint="eastAsia" w:cs="Times New Roman"/>
                <w:kern w:val="2"/>
                <w:sz w:val="18"/>
                <w:szCs w:val="18"/>
                <w:lang w:val="en-US" w:eastAsia="zh-CN" w:bidi="ar-SA"/>
              </w:rPr>
              <w:t>脱敏</w:t>
            </w:r>
            <w:r>
              <w:rPr>
                <w:rFonts w:hint="default" w:ascii="Times New Roman" w:hAnsi="Times New Roman" w:eastAsia="宋体" w:cs="Times New Roman"/>
                <w:kern w:val="2"/>
                <w:sz w:val="18"/>
                <w:szCs w:val="18"/>
                <w:lang w:val="en-US" w:eastAsia="zh-CN" w:bidi="ar-SA"/>
              </w:rPr>
              <w:t>规则，例如，根据组织</w:t>
            </w:r>
            <w:r>
              <w:rPr>
                <w:rFonts w:hint="eastAsia" w:cs="Times New Roman"/>
                <w:kern w:val="2"/>
                <w:sz w:val="18"/>
                <w:szCs w:val="18"/>
                <w:lang w:val="en-US" w:eastAsia="zh-CN" w:bidi="ar-SA"/>
              </w:rPr>
              <w:t>访问控制</w:t>
            </w:r>
            <w:r>
              <w:rPr>
                <w:rFonts w:hint="default" w:ascii="Times New Roman" w:hAnsi="Times New Roman" w:eastAsia="宋体" w:cs="Times New Roman"/>
                <w:kern w:val="2"/>
                <w:sz w:val="18"/>
                <w:szCs w:val="18"/>
                <w:lang w:val="en-US" w:eastAsia="zh-CN" w:bidi="ar-SA"/>
              </w:rPr>
              <w:t>的特定主题策略</w:t>
            </w:r>
          </w:p>
          <w:p w14:paraId="7BEE90E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分析结果，以</w:t>
            </w:r>
            <w:r>
              <w:rPr>
                <w:rFonts w:hint="default" w:ascii="Times New Roman" w:hAnsi="Times New Roman" w:eastAsia="宋体" w:cs="Times New Roman"/>
                <w:kern w:val="2"/>
                <w:sz w:val="18"/>
                <w:szCs w:val="18"/>
                <w:lang w:val="en-US" w:eastAsia="zh-CN" w:bidi="ar-SA"/>
              </w:rPr>
              <w:t>确定敏感信息</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个人</w:t>
            </w:r>
            <w:r>
              <w:rPr>
                <w:rFonts w:hint="eastAsia" w:cs="Times New Roman"/>
                <w:kern w:val="2"/>
                <w:sz w:val="18"/>
                <w:szCs w:val="18"/>
                <w:lang w:val="en-US" w:eastAsia="zh-CN" w:bidi="ar-SA"/>
              </w:rPr>
              <w:t>可识别</w:t>
            </w:r>
            <w:r>
              <w:rPr>
                <w:rFonts w:hint="eastAsia" w:ascii="Times New Roman" w:hAnsi="Times New Roman" w:eastAsia="宋体" w:cs="Times New Roman"/>
                <w:kern w:val="2"/>
                <w:sz w:val="18"/>
                <w:szCs w:val="18"/>
                <w:lang w:val="en-US" w:eastAsia="zh-CN" w:bidi="ar-SA"/>
              </w:rPr>
              <w:t>信息</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PII</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的保护需要</w:t>
            </w:r>
            <w:r>
              <w:rPr>
                <w:rFonts w:hint="eastAsia" w:cs="Times New Roman"/>
                <w:kern w:val="2"/>
                <w:sz w:val="18"/>
                <w:szCs w:val="18"/>
                <w:lang w:val="en-US" w:eastAsia="zh-CN" w:bidi="ar-SA"/>
              </w:rPr>
              <w:t>使用的诸如</w:t>
            </w:r>
            <w:r>
              <w:rPr>
                <w:rFonts w:hint="default" w:ascii="Times New Roman" w:hAnsi="Times New Roman" w:eastAsia="宋体" w:cs="Times New Roman"/>
                <w:kern w:val="2"/>
                <w:sz w:val="18"/>
                <w:szCs w:val="18"/>
                <w:lang w:val="en-US" w:eastAsia="zh-CN" w:bidi="ar-SA"/>
              </w:rPr>
              <w:t>数据屏蔽、假名化或匿名化等技术</w:t>
            </w:r>
          </w:p>
          <w:p w14:paraId="75F039A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数据</w:t>
            </w:r>
            <w:r>
              <w:rPr>
                <w:rFonts w:hint="eastAsia" w:cs="Times New Roman"/>
                <w:kern w:val="2"/>
                <w:sz w:val="18"/>
                <w:szCs w:val="18"/>
                <w:lang w:val="en-US" w:eastAsia="zh-CN" w:bidi="ar-SA"/>
              </w:rPr>
              <w:t>脱敏</w:t>
            </w:r>
            <w:r>
              <w:rPr>
                <w:rFonts w:hint="default" w:ascii="Times New Roman" w:hAnsi="Times New Roman" w:eastAsia="宋体" w:cs="Times New Roman"/>
                <w:kern w:val="2"/>
                <w:sz w:val="18"/>
                <w:szCs w:val="18"/>
                <w:lang w:val="en-US" w:eastAsia="zh-CN" w:bidi="ar-SA"/>
              </w:rPr>
              <w:t>、假名化或匿名化</w:t>
            </w:r>
            <w:r>
              <w:rPr>
                <w:rFonts w:hint="eastAsia" w:cs="Times New Roman"/>
                <w:kern w:val="2"/>
                <w:sz w:val="18"/>
                <w:szCs w:val="18"/>
                <w:lang w:val="en-US" w:eastAsia="zh-CN" w:bidi="ar-SA"/>
              </w:rPr>
              <w:t>所用</w:t>
            </w:r>
            <w:r>
              <w:rPr>
                <w:rFonts w:hint="default" w:ascii="Times New Roman" w:hAnsi="Times New Roman" w:eastAsia="宋体" w:cs="Times New Roman"/>
                <w:kern w:val="2"/>
                <w:sz w:val="18"/>
                <w:szCs w:val="18"/>
                <w:lang w:val="en-US" w:eastAsia="zh-CN" w:bidi="ar-SA"/>
              </w:rPr>
              <w:t>的技术</w:t>
            </w:r>
          </w:p>
        </w:tc>
      </w:tr>
      <w:tr w14:paraId="13E5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3233C89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8.12 数据防泄露</w:t>
            </w:r>
          </w:p>
        </w:tc>
        <w:tc>
          <w:tcPr>
            <w:tcW w:w="807" w:type="dxa"/>
            <w:tcBorders>
              <w:tl2br w:val="nil"/>
              <w:tr2bl w:val="nil"/>
            </w:tcBorders>
            <w:vAlign w:val="top"/>
          </w:tcPr>
          <w:p w14:paraId="0954F6F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555BE56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108C053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适用于处理、存储或传输敏感信息的系统、网络和任何其他设备的数据</w:t>
            </w:r>
            <w:r>
              <w:rPr>
                <w:rFonts w:hint="eastAsia" w:cs="Times New Roman"/>
                <w:kern w:val="2"/>
                <w:sz w:val="18"/>
                <w:szCs w:val="18"/>
                <w:lang w:val="en-US" w:eastAsia="zh-CN" w:bidi="ar-SA"/>
              </w:rPr>
              <w:t>防</w:t>
            </w:r>
            <w:r>
              <w:rPr>
                <w:rFonts w:hint="default" w:ascii="Times New Roman" w:hAnsi="Times New Roman" w:eastAsia="宋体" w:cs="Times New Roman"/>
                <w:kern w:val="2"/>
                <w:sz w:val="18"/>
                <w:szCs w:val="18"/>
                <w:lang w:val="en-US" w:eastAsia="zh-CN" w:bidi="ar-SA"/>
              </w:rPr>
              <w:t>泄漏措施</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规则</w:t>
            </w:r>
          </w:p>
          <w:p w14:paraId="02263BF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所识别的</w:t>
            </w:r>
            <w:r>
              <w:rPr>
                <w:rFonts w:hint="default" w:ascii="Times New Roman" w:hAnsi="Times New Roman" w:eastAsia="宋体" w:cs="Times New Roman"/>
                <w:kern w:val="2"/>
                <w:sz w:val="18"/>
                <w:szCs w:val="18"/>
                <w:lang w:val="en-US" w:eastAsia="zh-CN" w:bidi="ar-SA"/>
              </w:rPr>
              <w:t>需防泄漏的信息</w:t>
            </w:r>
          </w:p>
          <w:p w14:paraId="121AD138">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所识别的</w:t>
            </w:r>
            <w:r>
              <w:rPr>
                <w:rFonts w:hint="default" w:ascii="Times New Roman" w:hAnsi="Times New Roman" w:eastAsia="宋体" w:cs="Times New Roman"/>
                <w:kern w:val="2"/>
                <w:sz w:val="18"/>
                <w:szCs w:val="18"/>
                <w:lang w:val="en-US" w:eastAsia="zh-CN" w:bidi="ar-SA"/>
              </w:rPr>
              <w:t>相关泄漏渠道，</w:t>
            </w:r>
            <w:r>
              <w:rPr>
                <w:rFonts w:hint="eastAsia" w:cs="Times New Roman"/>
                <w:kern w:val="2"/>
                <w:sz w:val="18"/>
                <w:szCs w:val="18"/>
                <w:lang w:val="en-US" w:eastAsia="zh-CN" w:bidi="ar-SA"/>
              </w:rPr>
              <w:t>以及</w:t>
            </w:r>
            <w:r>
              <w:rPr>
                <w:rFonts w:hint="default" w:ascii="Times New Roman" w:hAnsi="Times New Roman" w:eastAsia="宋体" w:cs="Times New Roman"/>
                <w:kern w:val="2"/>
                <w:sz w:val="18"/>
                <w:szCs w:val="18"/>
                <w:lang w:val="en-US" w:eastAsia="zh-CN" w:bidi="ar-SA"/>
              </w:rPr>
              <w:t>防泄漏</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措施，包括</w:t>
            </w:r>
            <w:r>
              <w:rPr>
                <w:rFonts w:hint="eastAsia" w:cs="Times New Roman"/>
                <w:kern w:val="2"/>
                <w:sz w:val="18"/>
                <w:szCs w:val="18"/>
                <w:lang w:val="en-US" w:eastAsia="zh-CN" w:bidi="ar-SA"/>
              </w:rPr>
              <w:t>监视</w:t>
            </w:r>
          </w:p>
          <w:p w14:paraId="6971FE5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数据</w:t>
            </w:r>
            <w:r>
              <w:rPr>
                <w:rFonts w:hint="eastAsia" w:cs="Times New Roman"/>
                <w:kern w:val="2"/>
                <w:sz w:val="18"/>
                <w:szCs w:val="18"/>
                <w:lang w:val="en-US" w:eastAsia="zh-CN" w:bidi="ar-SA"/>
              </w:rPr>
              <w:t>防丢失</w:t>
            </w:r>
            <w:r>
              <w:rPr>
                <w:rFonts w:hint="default" w:ascii="Times New Roman" w:hAnsi="Times New Roman" w:eastAsia="宋体" w:cs="Times New Roman"/>
                <w:kern w:val="2"/>
                <w:sz w:val="18"/>
                <w:szCs w:val="18"/>
                <w:lang w:val="en-US" w:eastAsia="zh-CN" w:bidi="ar-SA"/>
              </w:rPr>
              <w:t>系统的配置</w:t>
            </w:r>
          </w:p>
        </w:tc>
      </w:tr>
      <w:tr w14:paraId="3232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249A21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8.13 信息备份</w:t>
            </w:r>
          </w:p>
        </w:tc>
        <w:tc>
          <w:tcPr>
            <w:tcW w:w="807" w:type="dxa"/>
            <w:tcBorders>
              <w:tl2br w:val="nil"/>
              <w:tr2bl w:val="nil"/>
            </w:tcBorders>
            <w:vAlign w:val="top"/>
          </w:tcPr>
          <w:p w14:paraId="007D3E4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73B31001">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22A17F78">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信息</w:t>
            </w:r>
            <w:r>
              <w:rPr>
                <w:rFonts w:hint="default" w:ascii="Times New Roman" w:hAnsi="Times New Roman" w:eastAsia="宋体" w:cs="Times New Roman"/>
                <w:kern w:val="2"/>
                <w:sz w:val="18"/>
                <w:szCs w:val="18"/>
                <w:lang w:val="en-US" w:eastAsia="zh-CN" w:bidi="ar-SA"/>
              </w:rPr>
              <w:t>、软件</w:t>
            </w:r>
            <w:r>
              <w:rPr>
                <w:rFonts w:hint="eastAsia" w:cs="Times New Roman"/>
                <w:kern w:val="2"/>
                <w:sz w:val="18"/>
                <w:szCs w:val="18"/>
                <w:lang w:val="en-US" w:eastAsia="zh-CN" w:bidi="ar-SA"/>
              </w:rPr>
              <w:t>和</w:t>
            </w:r>
            <w:r>
              <w:rPr>
                <w:rFonts w:hint="default" w:ascii="Times New Roman" w:hAnsi="Times New Roman" w:eastAsia="宋体" w:cs="Times New Roman"/>
                <w:kern w:val="2"/>
                <w:sz w:val="18"/>
                <w:szCs w:val="18"/>
                <w:lang w:val="en-US" w:eastAsia="zh-CN" w:bidi="ar-SA"/>
              </w:rPr>
              <w:t>系统</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备份规则，例如</w:t>
            </w:r>
            <w:r>
              <w:rPr>
                <w:rFonts w:hint="eastAsia" w:cs="Times New Roman"/>
                <w:kern w:val="2"/>
                <w:sz w:val="18"/>
                <w:szCs w:val="18"/>
                <w:lang w:val="en-US" w:eastAsia="zh-CN" w:bidi="ar-SA"/>
              </w:rPr>
              <w:t>，在</w:t>
            </w:r>
            <w:r>
              <w:rPr>
                <w:rFonts w:hint="default" w:ascii="Times New Roman" w:hAnsi="Times New Roman" w:eastAsia="宋体" w:cs="Times New Roman"/>
                <w:kern w:val="2"/>
                <w:sz w:val="18"/>
                <w:szCs w:val="18"/>
                <w:lang w:val="en-US" w:eastAsia="zh-CN" w:bidi="ar-SA"/>
              </w:rPr>
              <w:t>备份特定主题策略</w:t>
            </w:r>
            <w:r>
              <w:rPr>
                <w:rFonts w:hint="eastAsia" w:cs="Times New Roman"/>
                <w:kern w:val="2"/>
                <w:sz w:val="18"/>
                <w:szCs w:val="18"/>
                <w:lang w:val="en-US" w:eastAsia="zh-CN" w:bidi="ar-SA"/>
              </w:rPr>
              <w:t>中</w:t>
            </w:r>
          </w:p>
          <w:p w14:paraId="1E07972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基于组织既定业务需求</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备份计划</w:t>
            </w:r>
          </w:p>
          <w:p w14:paraId="5CC7E60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对</w:t>
            </w:r>
            <w:r>
              <w:rPr>
                <w:rFonts w:hint="default" w:ascii="Times New Roman" w:hAnsi="Times New Roman" w:eastAsia="宋体" w:cs="Times New Roman"/>
                <w:kern w:val="2"/>
                <w:sz w:val="18"/>
                <w:szCs w:val="18"/>
                <w:lang w:val="en-US" w:eastAsia="zh-CN" w:bidi="ar-SA"/>
              </w:rPr>
              <w:t>及时</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正确</w:t>
            </w:r>
            <w:r>
              <w:rPr>
                <w:rFonts w:hint="eastAsia" w:cs="Times New Roman"/>
                <w:kern w:val="2"/>
                <w:sz w:val="18"/>
                <w:szCs w:val="18"/>
                <w:lang w:val="en-US" w:eastAsia="zh-CN" w:bidi="ar-SA"/>
              </w:rPr>
              <w:t>地</w:t>
            </w:r>
            <w:r>
              <w:rPr>
                <w:rFonts w:hint="default" w:ascii="Times New Roman" w:hAnsi="Times New Roman" w:eastAsia="宋体" w:cs="Times New Roman"/>
                <w:kern w:val="2"/>
                <w:sz w:val="18"/>
                <w:szCs w:val="18"/>
                <w:lang w:val="en-US" w:eastAsia="zh-CN" w:bidi="ar-SA"/>
              </w:rPr>
              <w:t>执行备份</w:t>
            </w:r>
            <w:r>
              <w:rPr>
                <w:rFonts w:hint="eastAsia" w:cs="Times New Roman"/>
                <w:kern w:val="2"/>
                <w:sz w:val="18"/>
                <w:szCs w:val="18"/>
                <w:lang w:val="en-US" w:eastAsia="zh-CN" w:bidi="ar-SA"/>
              </w:rPr>
              <w:t>和</w:t>
            </w:r>
            <w:r>
              <w:rPr>
                <w:rFonts w:hint="default" w:ascii="Times New Roman" w:hAnsi="Times New Roman" w:eastAsia="宋体" w:cs="Times New Roman"/>
                <w:kern w:val="2"/>
                <w:sz w:val="18"/>
                <w:szCs w:val="18"/>
                <w:lang w:val="en-US" w:eastAsia="zh-CN" w:bidi="ar-SA"/>
              </w:rPr>
              <w:t>处理</w:t>
            </w:r>
            <w:r>
              <w:rPr>
                <w:rFonts w:hint="eastAsia" w:cs="Times New Roman"/>
                <w:kern w:val="2"/>
                <w:sz w:val="18"/>
                <w:szCs w:val="18"/>
                <w:lang w:val="en-US" w:eastAsia="zh-CN" w:bidi="ar-SA"/>
              </w:rPr>
              <w:t>备份失败进行监视</w:t>
            </w:r>
            <w:r>
              <w:rPr>
                <w:rFonts w:hint="default" w:ascii="Times New Roman" w:hAnsi="Times New Roman" w:eastAsia="宋体" w:cs="Times New Roman"/>
                <w:kern w:val="2"/>
                <w:sz w:val="18"/>
                <w:szCs w:val="18"/>
                <w:lang w:val="en-US" w:eastAsia="zh-CN" w:bidi="ar-SA"/>
              </w:rPr>
              <w:t>的操作</w:t>
            </w:r>
            <w:r>
              <w:rPr>
                <w:rFonts w:hint="eastAsia" w:cs="Times New Roman"/>
                <w:kern w:val="2"/>
                <w:sz w:val="18"/>
                <w:szCs w:val="18"/>
                <w:lang w:val="en-US" w:eastAsia="zh-CN" w:bidi="ar-SA"/>
              </w:rPr>
              <w:t>规程</w:t>
            </w:r>
          </w:p>
          <w:p w14:paraId="0B77D09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定期执行备份恢复测试</w:t>
            </w:r>
          </w:p>
        </w:tc>
      </w:tr>
      <w:tr w14:paraId="584B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350CAC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8.14 信息处理设施的冗余</w:t>
            </w:r>
          </w:p>
        </w:tc>
        <w:tc>
          <w:tcPr>
            <w:tcW w:w="807" w:type="dxa"/>
            <w:tcBorders>
              <w:tl2br w:val="nil"/>
              <w:tr2bl w:val="nil"/>
            </w:tcBorders>
            <w:vAlign w:val="top"/>
          </w:tcPr>
          <w:p w14:paraId="3053DAC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3278177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00A4E03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所识别的、</w:t>
            </w:r>
            <w:r>
              <w:rPr>
                <w:rFonts w:hint="default" w:ascii="Times New Roman" w:hAnsi="Times New Roman" w:eastAsia="宋体" w:cs="Times New Roman"/>
                <w:kern w:val="2"/>
                <w:sz w:val="18"/>
                <w:szCs w:val="18"/>
                <w:lang w:val="en-US" w:eastAsia="zh-CN" w:bidi="ar-SA"/>
              </w:rPr>
              <w:t>业务服务和信息系统</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可用性需求</w:t>
            </w:r>
          </w:p>
          <w:p w14:paraId="26C3154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高</w:t>
            </w:r>
            <w:r>
              <w:rPr>
                <w:rFonts w:hint="eastAsia" w:cs="Times New Roman"/>
                <w:kern w:val="2"/>
                <w:sz w:val="18"/>
                <w:szCs w:val="18"/>
                <w:lang w:val="en-US" w:eastAsia="zh-CN" w:bidi="ar-SA"/>
              </w:rPr>
              <w:t>可用性要求的</w:t>
            </w:r>
            <w:r>
              <w:rPr>
                <w:rFonts w:hint="default" w:ascii="Times New Roman" w:hAnsi="Times New Roman" w:eastAsia="宋体" w:cs="Times New Roman"/>
                <w:kern w:val="2"/>
                <w:sz w:val="18"/>
                <w:szCs w:val="18"/>
                <w:lang w:val="en-US" w:eastAsia="zh-CN" w:bidi="ar-SA"/>
              </w:rPr>
              <w:t>系统架构，</w:t>
            </w:r>
            <w:r>
              <w:rPr>
                <w:rFonts w:hint="eastAsia" w:cs="Times New Roman"/>
                <w:kern w:val="2"/>
                <w:sz w:val="18"/>
                <w:szCs w:val="18"/>
                <w:lang w:val="en-US" w:eastAsia="zh-CN" w:bidi="ar-SA"/>
              </w:rPr>
              <w:t>能</w:t>
            </w:r>
            <w:r>
              <w:rPr>
                <w:rFonts w:hint="default" w:ascii="Times New Roman" w:hAnsi="Times New Roman" w:eastAsia="宋体" w:cs="Times New Roman"/>
                <w:kern w:val="2"/>
                <w:sz w:val="18"/>
                <w:szCs w:val="18"/>
                <w:lang w:val="en-US" w:eastAsia="zh-CN" w:bidi="ar-SA"/>
              </w:rPr>
              <w:t>提供适当的冗余</w:t>
            </w:r>
          </w:p>
          <w:p w14:paraId="07038DC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故障</w:t>
            </w:r>
            <w:r>
              <w:rPr>
                <w:rFonts w:hint="eastAsia" w:cs="Times New Roman"/>
                <w:kern w:val="2"/>
                <w:sz w:val="18"/>
                <w:szCs w:val="18"/>
                <w:lang w:val="en-US" w:eastAsia="zh-CN" w:bidi="ar-SA"/>
              </w:rPr>
              <w:t>切换的</w:t>
            </w:r>
            <w:r>
              <w:rPr>
                <w:rFonts w:hint="default" w:ascii="Times New Roman" w:hAnsi="Times New Roman" w:eastAsia="宋体" w:cs="Times New Roman"/>
                <w:kern w:val="2"/>
                <w:sz w:val="18"/>
                <w:szCs w:val="18"/>
                <w:lang w:val="en-US" w:eastAsia="zh-CN" w:bidi="ar-SA"/>
              </w:rPr>
              <w:t>测试结果</w:t>
            </w:r>
          </w:p>
        </w:tc>
      </w:tr>
      <w:tr w14:paraId="1054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2FE354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8.15 日志</w:t>
            </w:r>
          </w:p>
        </w:tc>
        <w:tc>
          <w:tcPr>
            <w:tcW w:w="807" w:type="dxa"/>
            <w:tcBorders>
              <w:tl2br w:val="nil"/>
              <w:tr2bl w:val="nil"/>
            </w:tcBorders>
            <w:vAlign w:val="top"/>
          </w:tcPr>
          <w:p w14:paraId="30F7F4BE">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1201A07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0A62C65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关于创建日志的目的、收集哪些数据以及处理日志数据的任何特定要求的规则，例如，在</w:t>
            </w:r>
            <w:r>
              <w:rPr>
                <w:rFonts w:hint="eastAsia" w:cs="Times New Roman"/>
                <w:kern w:val="2"/>
                <w:sz w:val="18"/>
                <w:szCs w:val="18"/>
                <w:lang w:val="en-US" w:eastAsia="zh-CN" w:bidi="ar-SA"/>
              </w:rPr>
              <w:t>日志</w:t>
            </w:r>
            <w:r>
              <w:rPr>
                <w:rFonts w:hint="default" w:ascii="Times New Roman" w:hAnsi="Times New Roman" w:eastAsia="宋体" w:cs="Times New Roman"/>
                <w:kern w:val="2"/>
                <w:sz w:val="18"/>
                <w:szCs w:val="18"/>
                <w:lang w:val="en-US" w:eastAsia="zh-CN" w:bidi="ar-SA"/>
              </w:rPr>
              <w:t>特定主题策略中</w:t>
            </w:r>
          </w:p>
          <w:p w14:paraId="2F7AFCF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与安全相关的日志列表，以确保</w:t>
            </w:r>
            <w:r>
              <w:rPr>
                <w:rFonts w:hint="eastAsia" w:cs="Times New Roman"/>
                <w:kern w:val="2"/>
                <w:sz w:val="18"/>
                <w:szCs w:val="18"/>
                <w:lang w:val="en-US" w:eastAsia="zh-CN" w:bidi="ar-SA"/>
              </w:rPr>
              <w:t>日志</w:t>
            </w:r>
            <w:r>
              <w:rPr>
                <w:rFonts w:hint="default" w:ascii="Times New Roman" w:hAnsi="Times New Roman" w:eastAsia="宋体" w:cs="Times New Roman"/>
                <w:kern w:val="2"/>
                <w:sz w:val="18"/>
                <w:szCs w:val="18"/>
                <w:lang w:val="en-US" w:eastAsia="zh-CN" w:bidi="ar-SA"/>
              </w:rPr>
              <w:t>免受未授权操作</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措施</w:t>
            </w:r>
          </w:p>
          <w:p w14:paraId="122FCA4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对日志</w:t>
            </w:r>
            <w:r>
              <w:rPr>
                <w:rFonts w:hint="eastAsia" w:cs="Times New Roman"/>
                <w:kern w:val="2"/>
                <w:sz w:val="18"/>
                <w:szCs w:val="18"/>
                <w:lang w:val="en-US" w:eastAsia="zh-CN" w:bidi="ar-SA"/>
              </w:rPr>
              <w:t>事态</w:t>
            </w:r>
            <w:r>
              <w:rPr>
                <w:rFonts w:hint="default" w:ascii="Times New Roman" w:hAnsi="Times New Roman" w:eastAsia="宋体" w:cs="Times New Roman"/>
                <w:kern w:val="2"/>
                <w:sz w:val="18"/>
                <w:szCs w:val="18"/>
                <w:lang w:val="en-US" w:eastAsia="zh-CN" w:bidi="ar-SA"/>
              </w:rPr>
              <w:t>进行定期分析和解释的</w:t>
            </w:r>
            <w:r>
              <w:rPr>
                <w:rFonts w:hint="eastAsia" w:cs="Times New Roman"/>
                <w:kern w:val="2"/>
                <w:sz w:val="18"/>
                <w:szCs w:val="18"/>
                <w:lang w:val="en-US" w:eastAsia="zh-CN" w:bidi="ar-SA"/>
              </w:rPr>
              <w:t>规程</w:t>
            </w:r>
            <w:r>
              <w:rPr>
                <w:rFonts w:hint="default" w:ascii="Times New Roman" w:hAnsi="Times New Roman" w:eastAsia="宋体" w:cs="Times New Roman"/>
                <w:kern w:val="2"/>
                <w:sz w:val="18"/>
                <w:szCs w:val="18"/>
                <w:lang w:val="en-US" w:eastAsia="zh-CN" w:bidi="ar-SA"/>
              </w:rPr>
              <w:t>，例如，识别</w:t>
            </w:r>
            <w:r>
              <w:rPr>
                <w:rFonts w:hint="eastAsia" w:cs="Times New Roman"/>
                <w:kern w:val="2"/>
                <w:sz w:val="18"/>
                <w:szCs w:val="18"/>
                <w:lang w:val="en-US" w:eastAsia="zh-CN" w:bidi="ar-SA"/>
              </w:rPr>
              <w:t>异常</w:t>
            </w:r>
            <w:r>
              <w:rPr>
                <w:rFonts w:hint="default" w:ascii="Times New Roman" w:hAnsi="Times New Roman" w:eastAsia="宋体" w:cs="Times New Roman"/>
                <w:kern w:val="2"/>
                <w:sz w:val="18"/>
                <w:szCs w:val="18"/>
                <w:lang w:val="en-US" w:eastAsia="zh-CN" w:bidi="ar-SA"/>
              </w:rPr>
              <w:t>活动或异常行为</w:t>
            </w:r>
          </w:p>
          <w:p w14:paraId="7DA956A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日志系统</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配置</w:t>
            </w:r>
          </w:p>
        </w:tc>
      </w:tr>
      <w:tr w14:paraId="09A5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73C8857">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8.16 监视活动</w:t>
            </w:r>
          </w:p>
        </w:tc>
        <w:tc>
          <w:tcPr>
            <w:tcW w:w="807" w:type="dxa"/>
            <w:tcBorders>
              <w:tl2br w:val="nil"/>
              <w:tr2bl w:val="nil"/>
            </w:tcBorders>
            <w:vAlign w:val="top"/>
          </w:tcPr>
          <w:p w14:paraId="50257AFE">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2BE10B3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67E4B74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监视</w:t>
            </w:r>
            <w:r>
              <w:rPr>
                <w:rFonts w:hint="default" w:ascii="Times New Roman" w:hAnsi="Times New Roman" w:eastAsia="宋体" w:cs="Times New Roman"/>
                <w:kern w:val="2"/>
                <w:sz w:val="18"/>
                <w:szCs w:val="18"/>
                <w:lang w:val="en-US" w:eastAsia="zh-CN" w:bidi="ar-SA"/>
              </w:rPr>
              <w:t>网络、系统和应用程序异常行为的规则</w:t>
            </w:r>
          </w:p>
          <w:p w14:paraId="6D0E266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建立正常行为的基线和</w:t>
            </w:r>
            <w:r>
              <w:rPr>
                <w:rFonts w:hint="eastAsia" w:cs="Times New Roman"/>
                <w:kern w:val="2"/>
                <w:sz w:val="18"/>
                <w:szCs w:val="18"/>
                <w:lang w:val="en-US" w:eastAsia="zh-CN" w:bidi="ar-SA"/>
              </w:rPr>
              <w:t>派生的</w:t>
            </w:r>
            <w:r>
              <w:rPr>
                <w:rFonts w:hint="default" w:ascii="Times New Roman" w:hAnsi="Times New Roman" w:eastAsia="宋体" w:cs="Times New Roman"/>
                <w:kern w:val="2"/>
                <w:sz w:val="18"/>
                <w:szCs w:val="18"/>
                <w:lang w:val="en-US" w:eastAsia="zh-CN" w:bidi="ar-SA"/>
              </w:rPr>
              <w:t>警报触发</w:t>
            </w:r>
            <w:r>
              <w:rPr>
                <w:rFonts w:hint="eastAsia" w:cs="Times New Roman"/>
                <w:kern w:val="2"/>
                <w:sz w:val="18"/>
                <w:szCs w:val="18"/>
                <w:lang w:val="en-US" w:eastAsia="zh-CN" w:bidi="ar-SA"/>
              </w:rPr>
              <w:t>准则</w:t>
            </w:r>
          </w:p>
          <w:p w14:paraId="1E2B73C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在</w:t>
            </w:r>
            <w:r>
              <w:rPr>
                <w:rFonts w:hint="eastAsia" w:cs="Times New Roman"/>
                <w:kern w:val="2"/>
                <w:sz w:val="18"/>
                <w:szCs w:val="18"/>
                <w:lang w:val="en-US" w:eastAsia="zh-CN" w:bidi="ar-SA"/>
              </w:rPr>
              <w:t>规定</w:t>
            </w:r>
            <w:r>
              <w:rPr>
                <w:rFonts w:hint="default" w:ascii="Times New Roman" w:hAnsi="Times New Roman" w:eastAsia="宋体" w:cs="Times New Roman"/>
                <w:kern w:val="2"/>
                <w:sz w:val="18"/>
                <w:szCs w:val="18"/>
                <w:lang w:val="en-US" w:eastAsia="zh-CN" w:bidi="ar-SA"/>
              </w:rPr>
              <w:t>的保留期限内</w:t>
            </w:r>
            <w:r>
              <w:rPr>
                <w:rFonts w:hint="eastAsia" w:cs="Times New Roman"/>
                <w:kern w:val="2"/>
                <w:sz w:val="18"/>
                <w:szCs w:val="18"/>
                <w:lang w:val="en-US" w:eastAsia="zh-CN" w:bidi="ar-SA"/>
              </w:rPr>
              <w:t>所</w:t>
            </w:r>
            <w:r>
              <w:rPr>
                <w:rFonts w:hint="default" w:ascii="Times New Roman" w:hAnsi="Times New Roman" w:eastAsia="宋体" w:cs="Times New Roman"/>
                <w:kern w:val="2"/>
                <w:sz w:val="18"/>
                <w:szCs w:val="18"/>
                <w:lang w:val="en-US" w:eastAsia="zh-CN" w:bidi="ar-SA"/>
              </w:rPr>
              <w:t>维护</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监视日志</w:t>
            </w:r>
          </w:p>
          <w:p w14:paraId="27FD869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分析结果，以</w:t>
            </w:r>
            <w:r>
              <w:rPr>
                <w:rFonts w:hint="default" w:ascii="Times New Roman" w:hAnsi="Times New Roman" w:eastAsia="宋体" w:cs="Times New Roman"/>
                <w:kern w:val="2"/>
                <w:sz w:val="18"/>
                <w:szCs w:val="18"/>
                <w:lang w:val="en-US" w:eastAsia="zh-CN" w:bidi="ar-SA"/>
              </w:rPr>
              <w:t>识别异常行为</w:t>
            </w:r>
          </w:p>
        </w:tc>
      </w:tr>
      <w:tr w14:paraId="1D47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2E4986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8.17 时钟同步</w:t>
            </w:r>
          </w:p>
        </w:tc>
        <w:tc>
          <w:tcPr>
            <w:tcW w:w="807" w:type="dxa"/>
            <w:tcBorders>
              <w:tl2br w:val="nil"/>
              <w:tr2bl w:val="nil"/>
            </w:tcBorders>
            <w:vAlign w:val="top"/>
          </w:tcPr>
          <w:p w14:paraId="3BDEA51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2584336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0D524A7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组织使用的参考时间源列表</w:t>
            </w:r>
          </w:p>
          <w:p w14:paraId="464EF7F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时钟同步的方法和时间差的处理</w:t>
            </w:r>
          </w:p>
        </w:tc>
      </w:tr>
      <w:tr w14:paraId="7DDC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2955AE32">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8.18 特权实用程序的使用</w:t>
            </w:r>
          </w:p>
        </w:tc>
        <w:tc>
          <w:tcPr>
            <w:tcW w:w="807" w:type="dxa"/>
            <w:tcBorders>
              <w:tl2br w:val="nil"/>
              <w:tr2bl w:val="nil"/>
            </w:tcBorders>
            <w:vAlign w:val="top"/>
          </w:tcPr>
          <w:p w14:paraId="13BF06C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445B88BD">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2E0381A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所使用的、能超越系统和应用程序控制</w:t>
            </w:r>
            <w:r>
              <w:rPr>
                <w:rFonts w:hint="default" w:ascii="Times New Roman" w:hAnsi="Times New Roman" w:eastAsia="宋体" w:cs="Times New Roman"/>
                <w:kern w:val="2"/>
                <w:sz w:val="18"/>
                <w:szCs w:val="18"/>
                <w:lang w:val="en-US" w:eastAsia="zh-CN" w:bidi="ar-SA"/>
              </w:rPr>
              <w:t>的实用程序列表</w:t>
            </w:r>
          </w:p>
          <w:p w14:paraId="3054598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用于限制和严格控制这类实用程序的过程、</w:t>
            </w:r>
            <w:r>
              <w:rPr>
                <w:rFonts w:hint="eastAsia" w:cs="Times New Roman"/>
                <w:kern w:val="2"/>
                <w:sz w:val="18"/>
                <w:szCs w:val="18"/>
                <w:lang w:val="en-US" w:eastAsia="zh-CN" w:bidi="ar-SA"/>
              </w:rPr>
              <w:t>规程</w:t>
            </w:r>
            <w:r>
              <w:rPr>
                <w:rFonts w:hint="default" w:ascii="Times New Roman" w:hAnsi="Times New Roman" w:eastAsia="宋体" w:cs="Times New Roman"/>
                <w:kern w:val="2"/>
                <w:sz w:val="18"/>
                <w:szCs w:val="18"/>
                <w:lang w:val="en-US" w:eastAsia="zh-CN" w:bidi="ar-SA"/>
              </w:rPr>
              <w:t>和其他方法</w:t>
            </w:r>
          </w:p>
        </w:tc>
      </w:tr>
      <w:tr w14:paraId="57D4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9EC4AB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8.19 运行系统软件的安装</w:t>
            </w:r>
          </w:p>
        </w:tc>
        <w:tc>
          <w:tcPr>
            <w:tcW w:w="807" w:type="dxa"/>
            <w:tcBorders>
              <w:tl2br w:val="nil"/>
              <w:tr2bl w:val="nil"/>
            </w:tcBorders>
            <w:vAlign w:val="top"/>
          </w:tcPr>
          <w:p w14:paraId="1C66A12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549A002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63D8356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管理在</w:t>
            </w:r>
            <w:r>
              <w:rPr>
                <w:rFonts w:hint="eastAsia" w:cs="Times New Roman"/>
                <w:kern w:val="2"/>
                <w:sz w:val="18"/>
                <w:szCs w:val="18"/>
                <w:lang w:val="en-US" w:eastAsia="zh-CN" w:bidi="ar-SA"/>
              </w:rPr>
              <w:t>运行</w:t>
            </w:r>
            <w:r>
              <w:rPr>
                <w:rFonts w:hint="default" w:ascii="Times New Roman" w:hAnsi="Times New Roman" w:eastAsia="宋体" w:cs="Times New Roman"/>
                <w:kern w:val="2"/>
                <w:sz w:val="18"/>
                <w:szCs w:val="18"/>
                <w:lang w:val="en-US" w:eastAsia="zh-CN" w:bidi="ar-SA"/>
              </w:rPr>
              <w:t>系统上安装软件的</w:t>
            </w:r>
            <w:r>
              <w:rPr>
                <w:rFonts w:hint="eastAsia" w:cs="Times New Roman"/>
                <w:kern w:val="2"/>
                <w:sz w:val="18"/>
                <w:szCs w:val="18"/>
                <w:lang w:val="en-US" w:eastAsia="zh-CN" w:bidi="ar-SA"/>
              </w:rPr>
              <w:t>规程</w:t>
            </w:r>
            <w:r>
              <w:rPr>
                <w:rFonts w:hint="default" w:ascii="Times New Roman" w:hAnsi="Times New Roman" w:eastAsia="宋体" w:cs="Times New Roman"/>
                <w:kern w:val="2"/>
                <w:sz w:val="18"/>
                <w:szCs w:val="18"/>
                <w:lang w:val="en-US" w:eastAsia="zh-CN" w:bidi="ar-SA"/>
              </w:rPr>
              <w:t>和措施，包括已安装软件</w:t>
            </w:r>
            <w:r>
              <w:rPr>
                <w:rFonts w:hint="eastAsia" w:cs="Times New Roman"/>
                <w:kern w:val="2"/>
                <w:sz w:val="18"/>
                <w:szCs w:val="18"/>
                <w:lang w:val="en-US" w:eastAsia="zh-CN" w:bidi="ar-SA"/>
              </w:rPr>
              <w:t>及其</w:t>
            </w:r>
            <w:r>
              <w:rPr>
                <w:rFonts w:hint="default" w:ascii="Times New Roman" w:hAnsi="Times New Roman" w:eastAsia="宋体" w:cs="Times New Roman"/>
                <w:kern w:val="2"/>
                <w:sz w:val="18"/>
                <w:szCs w:val="18"/>
                <w:lang w:val="en-US" w:eastAsia="zh-CN" w:bidi="ar-SA"/>
              </w:rPr>
              <w:t>版本</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清单</w:t>
            </w:r>
          </w:p>
          <w:p w14:paraId="5A76560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关于用户</w:t>
            </w:r>
            <w:r>
              <w:rPr>
                <w:rFonts w:hint="eastAsia" w:cs="Times New Roman"/>
                <w:kern w:val="2"/>
                <w:sz w:val="18"/>
                <w:szCs w:val="18"/>
                <w:lang w:val="en-US" w:eastAsia="zh-CN" w:bidi="ar-SA"/>
              </w:rPr>
              <w:t>能</w:t>
            </w:r>
            <w:r>
              <w:rPr>
                <w:rFonts w:hint="default" w:ascii="Times New Roman" w:hAnsi="Times New Roman" w:eastAsia="宋体" w:cs="Times New Roman"/>
                <w:kern w:val="2"/>
                <w:sz w:val="18"/>
                <w:szCs w:val="18"/>
                <w:lang w:val="en-US" w:eastAsia="zh-CN" w:bidi="ar-SA"/>
              </w:rPr>
              <w:t>安装</w:t>
            </w:r>
            <w:r>
              <w:rPr>
                <w:rFonts w:hint="eastAsia" w:cs="Times New Roman"/>
                <w:kern w:val="2"/>
                <w:sz w:val="18"/>
                <w:szCs w:val="18"/>
                <w:lang w:val="en-US" w:eastAsia="zh-CN" w:bidi="ar-SA"/>
              </w:rPr>
              <w:t>的软件类型</w:t>
            </w:r>
            <w:r>
              <w:rPr>
                <w:rFonts w:hint="default" w:ascii="Times New Roman" w:hAnsi="Times New Roman" w:eastAsia="宋体" w:cs="Times New Roman"/>
                <w:kern w:val="2"/>
                <w:sz w:val="18"/>
                <w:szCs w:val="18"/>
                <w:lang w:val="en-US" w:eastAsia="zh-CN" w:bidi="ar-SA"/>
              </w:rPr>
              <w:t>的规则</w:t>
            </w:r>
          </w:p>
          <w:p w14:paraId="5E6404F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限制</w:t>
            </w:r>
            <w:r>
              <w:rPr>
                <w:rFonts w:hint="eastAsia" w:cs="Times New Roman"/>
                <w:kern w:val="2"/>
                <w:sz w:val="18"/>
                <w:szCs w:val="18"/>
                <w:lang w:val="en-US" w:eastAsia="zh-CN" w:bidi="ar-SA"/>
              </w:rPr>
              <w:t>由工作人员而不是由经过</w:t>
            </w:r>
            <w:r>
              <w:rPr>
                <w:rFonts w:hint="default" w:ascii="Times New Roman" w:hAnsi="Times New Roman" w:eastAsia="宋体" w:cs="Times New Roman"/>
                <w:kern w:val="2"/>
                <w:sz w:val="18"/>
                <w:szCs w:val="18"/>
                <w:lang w:val="en-US" w:eastAsia="zh-CN" w:bidi="ar-SA"/>
              </w:rPr>
              <w:t>培训的管理员安装软件</w:t>
            </w:r>
          </w:p>
        </w:tc>
      </w:tr>
      <w:tr w14:paraId="3AAA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9F58C3E">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8.2</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 xml:space="preserve"> 网络安全</w:t>
            </w:r>
          </w:p>
        </w:tc>
        <w:tc>
          <w:tcPr>
            <w:tcW w:w="807" w:type="dxa"/>
            <w:tcBorders>
              <w:tl2br w:val="nil"/>
              <w:tr2bl w:val="nil"/>
            </w:tcBorders>
            <w:vAlign w:val="top"/>
          </w:tcPr>
          <w:p w14:paraId="4930ABC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28D0092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515C70B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确保网络中信息</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安全</w:t>
            </w:r>
            <w:r>
              <w:rPr>
                <w:rFonts w:hint="eastAsia" w:cs="Times New Roman"/>
                <w:kern w:val="2"/>
                <w:sz w:val="18"/>
                <w:szCs w:val="18"/>
                <w:lang w:val="en-US" w:eastAsia="zh-CN" w:bidi="ar-SA"/>
              </w:rPr>
              <w:t>和</w:t>
            </w:r>
            <w:r>
              <w:rPr>
                <w:rFonts w:hint="default" w:ascii="Times New Roman" w:hAnsi="Times New Roman" w:eastAsia="宋体" w:cs="Times New Roman"/>
                <w:kern w:val="2"/>
                <w:sz w:val="18"/>
                <w:szCs w:val="18"/>
                <w:lang w:val="en-US" w:eastAsia="zh-CN" w:bidi="ar-SA"/>
              </w:rPr>
              <w:t>保护连接的</w:t>
            </w:r>
            <w:r>
              <w:rPr>
                <w:rFonts w:hint="eastAsia" w:cs="Times New Roman"/>
                <w:kern w:val="2"/>
                <w:sz w:val="18"/>
                <w:szCs w:val="18"/>
                <w:lang w:val="en-US" w:eastAsia="zh-CN" w:bidi="ar-SA"/>
              </w:rPr>
              <w:t>网络服务</w:t>
            </w:r>
            <w:r>
              <w:rPr>
                <w:rFonts w:hint="default" w:ascii="Times New Roman" w:hAnsi="Times New Roman" w:eastAsia="宋体" w:cs="Times New Roman"/>
                <w:kern w:val="2"/>
                <w:sz w:val="18"/>
                <w:szCs w:val="18"/>
                <w:lang w:val="en-US" w:eastAsia="zh-CN" w:bidi="ar-SA"/>
              </w:rPr>
              <w:t>不受未授权访问</w:t>
            </w:r>
            <w:r>
              <w:rPr>
                <w:rFonts w:hint="eastAsia" w:cs="Times New Roman"/>
                <w:kern w:val="2"/>
                <w:sz w:val="18"/>
                <w:szCs w:val="18"/>
                <w:lang w:val="en-US" w:eastAsia="zh-CN" w:bidi="ar-SA"/>
              </w:rPr>
              <w:t>的规则</w:t>
            </w:r>
          </w:p>
          <w:p w14:paraId="5023432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为保护网络中的信息及其支持</w:t>
            </w:r>
            <w:r>
              <w:rPr>
                <w:rFonts w:hint="eastAsia" w:cs="Times New Roman"/>
                <w:kern w:val="2"/>
                <w:sz w:val="18"/>
                <w:szCs w:val="18"/>
                <w:lang w:val="en-US" w:eastAsia="zh-CN" w:bidi="ar-SA"/>
              </w:rPr>
              <w:t>性</w:t>
            </w:r>
            <w:r>
              <w:rPr>
                <w:rFonts w:hint="default" w:ascii="Times New Roman" w:hAnsi="Times New Roman" w:eastAsia="宋体" w:cs="Times New Roman"/>
                <w:kern w:val="2"/>
                <w:sz w:val="18"/>
                <w:szCs w:val="18"/>
                <w:lang w:val="en-US" w:eastAsia="zh-CN" w:bidi="ar-SA"/>
              </w:rPr>
              <w:t>信息处理设施而实施的措施和安全</w:t>
            </w:r>
            <w:r>
              <w:rPr>
                <w:rFonts w:hint="eastAsia" w:cs="Times New Roman"/>
                <w:kern w:val="2"/>
                <w:sz w:val="18"/>
                <w:szCs w:val="18"/>
                <w:lang w:val="en-US" w:eastAsia="zh-CN" w:bidi="ar-SA"/>
              </w:rPr>
              <w:t>功能</w:t>
            </w:r>
            <w:r>
              <w:rPr>
                <w:rFonts w:hint="default"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配置模板、密码控制配置、网关规则集、网络设备配置示例</w:t>
            </w:r>
          </w:p>
          <w:p w14:paraId="12F1CF9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网络架构文档</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图、配置文件、隔离</w:t>
            </w:r>
            <w:r>
              <w:rPr>
                <w:rFonts w:hint="eastAsia" w:cs="Times New Roman"/>
                <w:kern w:val="2"/>
                <w:sz w:val="18"/>
                <w:szCs w:val="18"/>
                <w:lang w:val="en-US" w:eastAsia="zh-CN" w:bidi="ar-SA"/>
              </w:rPr>
              <w:t>）</w:t>
            </w:r>
          </w:p>
          <w:p w14:paraId="46884A3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系统连接到网络的</w:t>
            </w:r>
            <w:r>
              <w:rPr>
                <w:rFonts w:hint="eastAsia" w:cs="Times New Roman"/>
                <w:kern w:val="2"/>
                <w:sz w:val="18"/>
                <w:szCs w:val="18"/>
                <w:lang w:val="en-US" w:eastAsia="zh-CN" w:bidi="ar-SA"/>
              </w:rPr>
              <w:t>鉴别</w:t>
            </w:r>
            <w:r>
              <w:rPr>
                <w:rFonts w:hint="default" w:ascii="Times New Roman" w:hAnsi="Times New Roman" w:eastAsia="宋体" w:cs="Times New Roman"/>
                <w:kern w:val="2"/>
                <w:sz w:val="18"/>
                <w:szCs w:val="18"/>
                <w:lang w:val="en-US" w:eastAsia="zh-CN" w:bidi="ar-SA"/>
              </w:rPr>
              <w:t>规则</w:t>
            </w:r>
          </w:p>
        </w:tc>
      </w:tr>
      <w:tr w14:paraId="431B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478947D1">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8.21 网络服务的安全</w:t>
            </w:r>
          </w:p>
        </w:tc>
        <w:tc>
          <w:tcPr>
            <w:tcW w:w="807" w:type="dxa"/>
            <w:tcBorders>
              <w:tl2br w:val="nil"/>
              <w:tr2bl w:val="nil"/>
            </w:tcBorders>
            <w:vAlign w:val="top"/>
          </w:tcPr>
          <w:p w14:paraId="0B4E598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64522C72">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6ED220E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安全使用网络和网络服务的规则</w:t>
            </w:r>
          </w:p>
          <w:p w14:paraId="65EE5C6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所用的、具有</w:t>
            </w:r>
            <w:r>
              <w:rPr>
                <w:rFonts w:hint="default" w:ascii="Times New Roman" w:hAnsi="Times New Roman" w:eastAsia="宋体" w:cs="Times New Roman"/>
                <w:kern w:val="2"/>
                <w:sz w:val="18"/>
                <w:szCs w:val="18"/>
                <w:lang w:val="en-US" w:eastAsia="zh-CN" w:bidi="ar-SA"/>
              </w:rPr>
              <w:t>安全机制和服务级别的网络和网络服务列表</w:t>
            </w:r>
          </w:p>
          <w:p w14:paraId="5EE2DBD3">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获得网络服务提供商的保证</w:t>
            </w:r>
          </w:p>
        </w:tc>
      </w:tr>
      <w:tr w14:paraId="3906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7D660D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8.22 网络隔离</w:t>
            </w:r>
          </w:p>
        </w:tc>
        <w:tc>
          <w:tcPr>
            <w:tcW w:w="807" w:type="dxa"/>
            <w:tcBorders>
              <w:tl2br w:val="nil"/>
              <w:tr2bl w:val="nil"/>
            </w:tcBorders>
            <w:vAlign w:val="top"/>
          </w:tcPr>
          <w:p w14:paraId="6BD0AB8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030B245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2C8155E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基于</w:t>
            </w:r>
            <w:r>
              <w:rPr>
                <w:rFonts w:hint="eastAsia" w:cs="Times New Roman"/>
                <w:kern w:val="2"/>
                <w:sz w:val="18"/>
                <w:szCs w:val="18"/>
                <w:lang w:val="en-US" w:eastAsia="zh-CN" w:bidi="ar-SA"/>
              </w:rPr>
              <w:t>信任程度</w:t>
            </w:r>
            <w:r>
              <w:rPr>
                <w:rFonts w:hint="default" w:ascii="Times New Roman" w:hAnsi="Times New Roman" w:eastAsia="宋体" w:cs="Times New Roman"/>
                <w:kern w:val="2"/>
                <w:sz w:val="18"/>
                <w:szCs w:val="18"/>
                <w:lang w:val="en-US" w:eastAsia="zh-CN" w:bidi="ar-SA"/>
              </w:rPr>
              <w:t>、关键性</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敏感性</w:t>
            </w:r>
            <w:r>
              <w:rPr>
                <w:rFonts w:hint="eastAsia" w:cs="Times New Roman"/>
                <w:kern w:val="2"/>
                <w:sz w:val="18"/>
                <w:szCs w:val="18"/>
                <w:lang w:val="en-US" w:eastAsia="zh-CN" w:bidi="ar-SA"/>
              </w:rPr>
              <w:t>和</w:t>
            </w:r>
            <w:r>
              <w:rPr>
                <w:rFonts w:hint="default" w:ascii="Times New Roman" w:hAnsi="Times New Roman" w:eastAsia="宋体" w:cs="Times New Roman"/>
                <w:kern w:val="2"/>
                <w:sz w:val="18"/>
                <w:szCs w:val="18"/>
                <w:lang w:val="en-US" w:eastAsia="zh-CN" w:bidi="ar-SA"/>
              </w:rPr>
              <w:t>访问控制特定主题策略的网络域隔离规则</w:t>
            </w:r>
          </w:p>
          <w:p w14:paraId="1DD2672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网络拓扑</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包括无线</w:t>
            </w:r>
            <w:r>
              <w:rPr>
                <w:rFonts w:hint="eastAsia" w:cs="Times New Roman"/>
                <w:kern w:val="2"/>
                <w:sz w:val="18"/>
                <w:szCs w:val="18"/>
                <w:lang w:val="en-US" w:eastAsia="zh-CN" w:bidi="ar-SA"/>
              </w:rPr>
              <w:t>）以及附有</w:t>
            </w:r>
            <w:r>
              <w:rPr>
                <w:rFonts w:hint="default" w:ascii="Times New Roman" w:hAnsi="Times New Roman" w:eastAsia="宋体" w:cs="Times New Roman"/>
                <w:kern w:val="2"/>
                <w:sz w:val="18"/>
                <w:szCs w:val="18"/>
                <w:lang w:val="en-US" w:eastAsia="zh-CN" w:bidi="ar-SA"/>
              </w:rPr>
              <w:t>目的和规则描述的</w:t>
            </w:r>
            <w:r>
              <w:rPr>
                <w:rFonts w:hint="eastAsia" w:cs="Times New Roman"/>
                <w:kern w:val="2"/>
                <w:sz w:val="18"/>
                <w:szCs w:val="18"/>
                <w:lang w:val="en-US" w:eastAsia="zh-CN" w:bidi="ar-SA"/>
              </w:rPr>
              <w:t>网络</w:t>
            </w:r>
            <w:r>
              <w:rPr>
                <w:rFonts w:hint="default" w:ascii="Times New Roman" w:hAnsi="Times New Roman" w:eastAsia="宋体" w:cs="Times New Roman"/>
                <w:kern w:val="2"/>
                <w:sz w:val="18"/>
                <w:szCs w:val="18"/>
                <w:lang w:val="en-US" w:eastAsia="zh-CN" w:bidi="ar-SA"/>
              </w:rPr>
              <w:t>域隔离</w:t>
            </w:r>
          </w:p>
          <w:p w14:paraId="3BD5C6B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定义的</w:t>
            </w:r>
            <w:r>
              <w:rPr>
                <w:rFonts w:hint="default" w:ascii="Times New Roman" w:hAnsi="Times New Roman" w:eastAsia="宋体" w:cs="Times New Roman"/>
                <w:kern w:val="2"/>
                <w:sz w:val="18"/>
                <w:szCs w:val="18"/>
                <w:lang w:val="en-US" w:eastAsia="zh-CN" w:bidi="ar-SA"/>
              </w:rPr>
              <w:t>网络域安全边界</w:t>
            </w:r>
          </w:p>
          <w:p w14:paraId="7033FBE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管理网络域的安全边界和防火墙规则的</w:t>
            </w:r>
            <w:r>
              <w:rPr>
                <w:rFonts w:hint="eastAsia" w:cs="Times New Roman"/>
                <w:kern w:val="2"/>
                <w:sz w:val="18"/>
                <w:szCs w:val="18"/>
                <w:lang w:val="en-US" w:eastAsia="zh-CN" w:bidi="ar-SA"/>
              </w:rPr>
              <w:t>过程</w:t>
            </w:r>
          </w:p>
        </w:tc>
      </w:tr>
      <w:tr w14:paraId="11DB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DBBBCD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8.23 网页过滤</w:t>
            </w:r>
          </w:p>
        </w:tc>
        <w:tc>
          <w:tcPr>
            <w:tcW w:w="807" w:type="dxa"/>
            <w:tcBorders>
              <w:tl2br w:val="nil"/>
              <w:tr2bl w:val="nil"/>
            </w:tcBorders>
            <w:vAlign w:val="top"/>
          </w:tcPr>
          <w:p w14:paraId="309DD787">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4534B42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49A72798">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安全</w:t>
            </w:r>
            <w:r>
              <w:rPr>
                <w:rFonts w:hint="eastAsia" w:cs="Times New Roman"/>
                <w:kern w:val="2"/>
                <w:sz w:val="18"/>
                <w:szCs w:val="18"/>
                <w:lang w:val="en-US" w:eastAsia="zh-CN" w:bidi="ar-SA"/>
              </w:rPr>
              <w:t>且</w:t>
            </w:r>
            <w:r>
              <w:rPr>
                <w:rFonts w:hint="default" w:ascii="Times New Roman" w:hAnsi="Times New Roman" w:eastAsia="宋体" w:cs="Times New Roman"/>
                <w:kern w:val="2"/>
                <w:sz w:val="18"/>
                <w:szCs w:val="18"/>
                <w:lang w:val="en-US" w:eastAsia="zh-CN" w:bidi="ar-SA"/>
              </w:rPr>
              <w:t>适当</w:t>
            </w:r>
            <w:r>
              <w:rPr>
                <w:rFonts w:hint="eastAsia" w:cs="Times New Roman"/>
                <w:kern w:val="2"/>
                <w:sz w:val="18"/>
                <w:szCs w:val="18"/>
                <w:lang w:val="en-US" w:eastAsia="zh-CN" w:bidi="ar-SA"/>
              </w:rPr>
              <w:t>地</w:t>
            </w:r>
            <w:r>
              <w:rPr>
                <w:rFonts w:hint="default" w:ascii="Times New Roman" w:hAnsi="Times New Roman" w:eastAsia="宋体" w:cs="Times New Roman"/>
                <w:kern w:val="2"/>
                <w:sz w:val="18"/>
                <w:szCs w:val="18"/>
                <w:lang w:val="en-US" w:eastAsia="zh-CN" w:bidi="ar-SA"/>
              </w:rPr>
              <w:t>使用</w:t>
            </w:r>
            <w:r>
              <w:rPr>
                <w:rFonts w:hint="eastAsia" w:cs="Times New Roman"/>
                <w:kern w:val="2"/>
                <w:sz w:val="18"/>
                <w:szCs w:val="18"/>
                <w:lang w:val="en-US" w:eastAsia="zh-CN" w:bidi="ar-SA"/>
              </w:rPr>
              <w:t>在线</w:t>
            </w:r>
            <w:r>
              <w:rPr>
                <w:rFonts w:hint="default" w:ascii="Times New Roman" w:hAnsi="Times New Roman" w:eastAsia="宋体" w:cs="Times New Roman"/>
                <w:kern w:val="2"/>
                <w:sz w:val="18"/>
                <w:szCs w:val="18"/>
                <w:lang w:val="en-US" w:eastAsia="zh-CN" w:bidi="ar-SA"/>
              </w:rPr>
              <w:t>资源的规则，包括对</w:t>
            </w:r>
            <w:r>
              <w:rPr>
                <w:rFonts w:hint="eastAsia" w:cs="Times New Roman"/>
                <w:kern w:val="2"/>
                <w:sz w:val="18"/>
                <w:szCs w:val="18"/>
                <w:lang w:val="en-US" w:eastAsia="zh-CN" w:bidi="ar-SA"/>
              </w:rPr>
              <w:t>不良</w:t>
            </w:r>
            <w:r>
              <w:rPr>
                <w:rFonts w:hint="default" w:ascii="Times New Roman" w:hAnsi="Times New Roman" w:eastAsia="宋体" w:cs="Times New Roman"/>
                <w:kern w:val="2"/>
                <w:sz w:val="18"/>
                <w:szCs w:val="18"/>
                <w:lang w:val="en-US" w:eastAsia="zh-CN" w:bidi="ar-SA"/>
              </w:rPr>
              <w:t>或不</w:t>
            </w:r>
            <w:r>
              <w:rPr>
                <w:rFonts w:hint="eastAsia" w:cs="Times New Roman"/>
                <w:kern w:val="2"/>
                <w:sz w:val="18"/>
                <w:szCs w:val="18"/>
                <w:lang w:val="en-US" w:eastAsia="zh-CN" w:bidi="ar-SA"/>
              </w:rPr>
              <w:t>适宜</w:t>
            </w:r>
            <w:r>
              <w:rPr>
                <w:rFonts w:hint="default" w:ascii="Times New Roman" w:hAnsi="Times New Roman" w:eastAsia="宋体" w:cs="Times New Roman"/>
                <w:kern w:val="2"/>
                <w:sz w:val="18"/>
                <w:szCs w:val="18"/>
                <w:lang w:val="en-US" w:eastAsia="zh-CN" w:bidi="ar-SA"/>
              </w:rPr>
              <w:t>网站的任何限制</w:t>
            </w:r>
          </w:p>
          <w:p w14:paraId="01077DF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为减少接触外部网站的恶意内容而采取的措施，例如</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过滤规则</w:t>
            </w:r>
          </w:p>
          <w:p w14:paraId="5606E9F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向所有</w:t>
            </w:r>
            <w:r>
              <w:rPr>
                <w:rFonts w:hint="eastAsia" w:cs="Times New Roman"/>
                <w:kern w:val="2"/>
                <w:sz w:val="18"/>
                <w:szCs w:val="18"/>
                <w:lang w:val="en-US" w:eastAsia="zh-CN" w:bidi="ar-SA"/>
              </w:rPr>
              <w:t>工作人员</w:t>
            </w:r>
            <w:r>
              <w:rPr>
                <w:rFonts w:hint="default" w:ascii="Times New Roman" w:hAnsi="Times New Roman" w:eastAsia="宋体" w:cs="Times New Roman"/>
                <w:kern w:val="2"/>
                <w:sz w:val="18"/>
                <w:szCs w:val="18"/>
                <w:lang w:val="en-US" w:eastAsia="zh-CN" w:bidi="ar-SA"/>
              </w:rPr>
              <w:t>提供关于安全和适当</w:t>
            </w:r>
            <w:r>
              <w:rPr>
                <w:rFonts w:hint="eastAsia" w:cs="Times New Roman"/>
                <w:kern w:val="2"/>
                <w:sz w:val="18"/>
                <w:szCs w:val="18"/>
                <w:lang w:val="en-US" w:eastAsia="zh-CN" w:bidi="ar-SA"/>
              </w:rPr>
              <w:t>地</w:t>
            </w:r>
            <w:r>
              <w:rPr>
                <w:rFonts w:hint="default" w:ascii="Times New Roman" w:hAnsi="Times New Roman" w:eastAsia="宋体" w:cs="Times New Roman"/>
                <w:kern w:val="2"/>
                <w:sz w:val="18"/>
                <w:szCs w:val="18"/>
                <w:lang w:val="en-US" w:eastAsia="zh-CN" w:bidi="ar-SA"/>
              </w:rPr>
              <w:t>使用在线资源的意识</w:t>
            </w:r>
            <w:r>
              <w:rPr>
                <w:rFonts w:hint="eastAsia" w:cs="Times New Roman"/>
                <w:kern w:val="2"/>
                <w:sz w:val="18"/>
                <w:szCs w:val="18"/>
                <w:lang w:val="en-US" w:eastAsia="zh-CN" w:bidi="ar-SA"/>
              </w:rPr>
              <w:t>教育</w:t>
            </w:r>
            <w:r>
              <w:rPr>
                <w:rFonts w:hint="default" w:ascii="Times New Roman" w:hAnsi="Times New Roman" w:eastAsia="宋体" w:cs="Times New Roman"/>
                <w:kern w:val="2"/>
                <w:sz w:val="18"/>
                <w:szCs w:val="18"/>
                <w:lang w:val="en-US" w:eastAsia="zh-CN" w:bidi="ar-SA"/>
              </w:rPr>
              <w:t>和培训活动</w:t>
            </w:r>
          </w:p>
        </w:tc>
      </w:tr>
      <w:tr w14:paraId="799B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254D806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8.24 密码技术的使用</w:t>
            </w:r>
          </w:p>
        </w:tc>
        <w:tc>
          <w:tcPr>
            <w:tcW w:w="807" w:type="dxa"/>
            <w:tcBorders>
              <w:tl2br w:val="nil"/>
              <w:tr2bl w:val="nil"/>
            </w:tcBorders>
            <w:vAlign w:val="top"/>
          </w:tcPr>
          <w:p w14:paraId="547EF92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79D2540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4326611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有效使用密码</w:t>
            </w:r>
            <w:r>
              <w:rPr>
                <w:rFonts w:hint="eastAsia" w:cs="Times New Roman"/>
                <w:kern w:val="2"/>
                <w:sz w:val="18"/>
                <w:szCs w:val="18"/>
                <w:lang w:val="en-US" w:eastAsia="zh-CN" w:bidi="ar-SA"/>
              </w:rPr>
              <w:t>技术</w:t>
            </w:r>
            <w:r>
              <w:rPr>
                <w:rFonts w:hint="default" w:ascii="Times New Roman" w:hAnsi="Times New Roman" w:eastAsia="宋体" w:cs="Times New Roman"/>
                <w:kern w:val="2"/>
                <w:sz w:val="18"/>
                <w:szCs w:val="18"/>
                <w:lang w:val="en-US" w:eastAsia="zh-CN" w:bidi="ar-SA"/>
              </w:rPr>
              <w:t>的规则，包括可接受的密码和密钥管理，例如在</w:t>
            </w:r>
            <w:r>
              <w:rPr>
                <w:rFonts w:hint="eastAsia" w:cs="Times New Roman"/>
                <w:kern w:val="2"/>
                <w:sz w:val="18"/>
                <w:szCs w:val="18"/>
                <w:lang w:val="en-US" w:eastAsia="zh-CN" w:bidi="ar-SA"/>
              </w:rPr>
              <w:t>密码技术</w:t>
            </w:r>
            <w:r>
              <w:rPr>
                <w:rFonts w:hint="default" w:ascii="Times New Roman" w:hAnsi="Times New Roman" w:eastAsia="宋体" w:cs="Times New Roman"/>
                <w:kern w:val="2"/>
                <w:sz w:val="18"/>
                <w:szCs w:val="18"/>
                <w:lang w:val="en-US" w:eastAsia="zh-CN" w:bidi="ar-SA"/>
              </w:rPr>
              <w:t>特定主题策略中</w:t>
            </w:r>
          </w:p>
          <w:p w14:paraId="4CC912F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组织</w:t>
            </w:r>
            <w:r>
              <w:rPr>
                <w:rFonts w:hint="eastAsia" w:cs="Times New Roman"/>
                <w:kern w:val="2"/>
                <w:sz w:val="18"/>
                <w:szCs w:val="18"/>
                <w:lang w:val="en-US" w:eastAsia="zh-CN" w:bidi="ar-SA"/>
              </w:rPr>
              <w:t>所用的密码</w:t>
            </w:r>
            <w:r>
              <w:rPr>
                <w:rFonts w:hint="default" w:ascii="Times New Roman" w:hAnsi="Times New Roman" w:eastAsia="宋体" w:cs="Times New Roman"/>
                <w:kern w:val="2"/>
                <w:sz w:val="18"/>
                <w:szCs w:val="18"/>
                <w:lang w:val="en-US" w:eastAsia="zh-CN" w:bidi="ar-SA"/>
              </w:rPr>
              <w:t>技术列表</w:t>
            </w:r>
          </w:p>
          <w:p w14:paraId="3E6CED4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密钥管理的标准、</w:t>
            </w:r>
            <w:r>
              <w:rPr>
                <w:rFonts w:hint="eastAsia" w:cs="Times New Roman"/>
                <w:kern w:val="2"/>
                <w:sz w:val="18"/>
                <w:szCs w:val="18"/>
                <w:lang w:val="en-US" w:eastAsia="zh-CN" w:bidi="ar-SA"/>
              </w:rPr>
              <w:t>规程</w:t>
            </w:r>
            <w:r>
              <w:rPr>
                <w:rFonts w:hint="default" w:ascii="Times New Roman" w:hAnsi="Times New Roman" w:eastAsia="宋体" w:cs="Times New Roman"/>
                <w:kern w:val="2"/>
                <w:sz w:val="18"/>
                <w:szCs w:val="18"/>
                <w:lang w:val="en-US" w:eastAsia="zh-CN" w:bidi="ar-SA"/>
              </w:rPr>
              <w:t>和方法，包括生成、存储、归档、检索、分发、</w:t>
            </w:r>
            <w:r>
              <w:rPr>
                <w:rFonts w:hint="eastAsia" w:cs="Times New Roman"/>
                <w:kern w:val="2"/>
                <w:sz w:val="18"/>
                <w:szCs w:val="18"/>
                <w:lang w:val="en-US" w:eastAsia="zh-CN" w:bidi="ar-SA"/>
              </w:rPr>
              <w:t>停用</w:t>
            </w:r>
            <w:r>
              <w:rPr>
                <w:rFonts w:hint="default" w:ascii="Times New Roman" w:hAnsi="Times New Roman" w:eastAsia="宋体" w:cs="Times New Roman"/>
                <w:kern w:val="2"/>
                <w:sz w:val="18"/>
                <w:szCs w:val="18"/>
                <w:lang w:val="en-US" w:eastAsia="zh-CN" w:bidi="ar-SA"/>
              </w:rPr>
              <w:t>和销毁密钥</w:t>
            </w:r>
          </w:p>
        </w:tc>
      </w:tr>
      <w:tr w14:paraId="60EB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63CDAA8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8.25 安全开发生存周期</w:t>
            </w:r>
          </w:p>
        </w:tc>
        <w:tc>
          <w:tcPr>
            <w:tcW w:w="807" w:type="dxa"/>
            <w:tcBorders>
              <w:tl2br w:val="nil"/>
              <w:tr2bl w:val="nil"/>
            </w:tcBorders>
            <w:vAlign w:val="top"/>
          </w:tcPr>
          <w:p w14:paraId="78EC8E0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14EB150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7E982B4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软件安全开发规则，以确保在安全开发</w:t>
            </w:r>
            <w:r>
              <w:rPr>
                <w:rFonts w:hint="eastAsia" w:cs="Times New Roman"/>
                <w:kern w:val="2"/>
                <w:sz w:val="18"/>
                <w:szCs w:val="18"/>
                <w:lang w:val="en-US" w:eastAsia="zh-CN" w:bidi="ar-SA"/>
              </w:rPr>
              <w:t>生存</w:t>
            </w:r>
            <w:r>
              <w:rPr>
                <w:rFonts w:hint="default" w:ascii="Times New Roman" w:hAnsi="Times New Roman" w:eastAsia="宋体" w:cs="Times New Roman"/>
                <w:kern w:val="2"/>
                <w:sz w:val="18"/>
                <w:szCs w:val="18"/>
                <w:lang w:val="en-US" w:eastAsia="zh-CN" w:bidi="ar-SA"/>
              </w:rPr>
              <w:t>周期内设计和实现信息安全</w:t>
            </w:r>
          </w:p>
          <w:p w14:paraId="3AF940A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开发、测试和生产环境之间的</w:t>
            </w:r>
            <w:r>
              <w:rPr>
                <w:rFonts w:hint="eastAsia" w:cs="Times New Roman"/>
                <w:kern w:val="2"/>
                <w:sz w:val="18"/>
                <w:szCs w:val="18"/>
                <w:lang w:val="en-US" w:eastAsia="zh-CN" w:bidi="ar-SA"/>
              </w:rPr>
              <w:t>隔离</w:t>
            </w:r>
          </w:p>
          <w:p w14:paraId="6F84BFC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确保在整个软件开发过程中充分覆盖信息安全需求的安全过程和检查点</w:t>
            </w:r>
          </w:p>
          <w:p w14:paraId="5EE60E7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软件开发</w:t>
            </w:r>
            <w:r>
              <w:rPr>
                <w:rFonts w:hint="eastAsia" w:cs="Times New Roman"/>
                <w:kern w:val="2"/>
                <w:sz w:val="18"/>
                <w:szCs w:val="18"/>
                <w:lang w:val="en-US" w:eastAsia="zh-CN" w:bidi="ar-SA"/>
              </w:rPr>
              <w:t>外包时，获得妥善处理信息安全</w:t>
            </w:r>
            <w:r>
              <w:rPr>
                <w:rFonts w:hint="default" w:ascii="Times New Roman" w:hAnsi="Times New Roman" w:eastAsia="宋体" w:cs="Times New Roman"/>
                <w:kern w:val="2"/>
                <w:sz w:val="18"/>
                <w:szCs w:val="18"/>
                <w:lang w:val="en-US" w:eastAsia="zh-CN" w:bidi="ar-SA"/>
              </w:rPr>
              <w:t>要求</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保证</w:t>
            </w:r>
          </w:p>
        </w:tc>
      </w:tr>
      <w:tr w14:paraId="5C3A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C35C74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8.26 应用程序安全要求</w:t>
            </w:r>
          </w:p>
        </w:tc>
        <w:tc>
          <w:tcPr>
            <w:tcW w:w="807" w:type="dxa"/>
            <w:tcBorders>
              <w:tl2br w:val="nil"/>
              <w:tr2bl w:val="nil"/>
            </w:tcBorders>
            <w:vAlign w:val="top"/>
          </w:tcPr>
          <w:p w14:paraId="072D81EB">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60A3166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19F148C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基于</w:t>
            </w:r>
            <w:r>
              <w:rPr>
                <w:rFonts w:hint="eastAsia" w:cs="Times New Roman"/>
                <w:kern w:val="2"/>
                <w:sz w:val="18"/>
                <w:szCs w:val="18"/>
                <w:lang w:val="en-US" w:eastAsia="zh-CN" w:bidi="ar-SA"/>
              </w:rPr>
              <w:t>具体的</w:t>
            </w:r>
            <w:r>
              <w:rPr>
                <w:rFonts w:hint="default" w:ascii="Times New Roman" w:hAnsi="Times New Roman" w:eastAsia="宋体" w:cs="Times New Roman"/>
                <w:kern w:val="2"/>
                <w:sz w:val="18"/>
                <w:szCs w:val="18"/>
                <w:lang w:val="en-US" w:eastAsia="zh-CN" w:bidi="ar-SA"/>
              </w:rPr>
              <w:t>风险评估</w:t>
            </w:r>
            <w:r>
              <w:rPr>
                <w:rFonts w:hint="eastAsia" w:cs="Times New Roman"/>
                <w:kern w:val="2"/>
                <w:sz w:val="18"/>
                <w:szCs w:val="18"/>
                <w:lang w:val="en-US" w:eastAsia="zh-CN" w:bidi="ar-SA"/>
              </w:rPr>
              <w:t>来</w:t>
            </w:r>
            <w:r>
              <w:rPr>
                <w:rFonts w:hint="default" w:ascii="Times New Roman" w:hAnsi="Times New Roman" w:eastAsia="宋体" w:cs="Times New Roman"/>
                <w:kern w:val="2"/>
                <w:sz w:val="18"/>
                <w:szCs w:val="18"/>
                <w:lang w:val="en-US" w:eastAsia="zh-CN" w:bidi="ar-SA"/>
              </w:rPr>
              <w:t>定义应用程序安全</w:t>
            </w:r>
            <w:r>
              <w:rPr>
                <w:rFonts w:hint="eastAsia" w:cs="Times New Roman"/>
                <w:kern w:val="2"/>
                <w:sz w:val="18"/>
                <w:szCs w:val="18"/>
                <w:lang w:val="en-US" w:eastAsia="zh-CN" w:bidi="ar-SA"/>
              </w:rPr>
              <w:t>要求</w:t>
            </w:r>
            <w:r>
              <w:rPr>
                <w:rFonts w:hint="default" w:ascii="Times New Roman" w:hAnsi="Times New Roman" w:eastAsia="宋体" w:cs="Times New Roman"/>
                <w:kern w:val="2"/>
                <w:sz w:val="18"/>
                <w:szCs w:val="18"/>
                <w:lang w:val="en-US" w:eastAsia="zh-CN" w:bidi="ar-SA"/>
              </w:rPr>
              <w:t>的过程</w:t>
            </w:r>
          </w:p>
          <w:p w14:paraId="0B7A894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已</w:t>
            </w:r>
            <w:r>
              <w:rPr>
                <w:rFonts w:hint="eastAsia" w:cs="Times New Roman"/>
                <w:kern w:val="2"/>
                <w:sz w:val="18"/>
                <w:szCs w:val="18"/>
                <w:lang w:val="en-US" w:eastAsia="zh-CN" w:bidi="ar-SA"/>
              </w:rPr>
              <w:t>实施</w:t>
            </w:r>
            <w:r>
              <w:rPr>
                <w:rFonts w:hint="default" w:ascii="Times New Roman" w:hAnsi="Times New Roman" w:eastAsia="宋体" w:cs="Times New Roman"/>
                <w:kern w:val="2"/>
                <w:sz w:val="18"/>
                <w:szCs w:val="18"/>
                <w:lang w:val="en-US" w:eastAsia="zh-CN" w:bidi="ar-SA"/>
              </w:rPr>
              <w:t>的应用程序风险评估，</w:t>
            </w:r>
            <w:r>
              <w:rPr>
                <w:rFonts w:hint="eastAsia" w:cs="Times New Roman"/>
                <w:kern w:val="2"/>
                <w:sz w:val="18"/>
                <w:szCs w:val="18"/>
                <w:lang w:val="en-US" w:eastAsia="zh-CN" w:bidi="ar-SA"/>
              </w:rPr>
              <w:t>所描述的</w:t>
            </w:r>
            <w:r>
              <w:rPr>
                <w:rFonts w:hint="default" w:ascii="Times New Roman" w:hAnsi="Times New Roman" w:eastAsia="宋体" w:cs="Times New Roman"/>
                <w:kern w:val="2"/>
                <w:sz w:val="18"/>
                <w:szCs w:val="18"/>
                <w:lang w:val="en-US" w:eastAsia="zh-CN" w:bidi="ar-SA"/>
              </w:rPr>
              <w:t>具体信息安全</w:t>
            </w:r>
            <w:r>
              <w:rPr>
                <w:rFonts w:hint="eastAsia" w:cs="Times New Roman"/>
                <w:kern w:val="2"/>
                <w:sz w:val="18"/>
                <w:szCs w:val="18"/>
                <w:lang w:val="en-US" w:eastAsia="zh-CN" w:bidi="ar-SA"/>
              </w:rPr>
              <w:t>要求</w:t>
            </w:r>
          </w:p>
          <w:p w14:paraId="7E42C15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最近开发或实现的</w:t>
            </w:r>
            <w:r>
              <w:rPr>
                <w:rFonts w:hint="default" w:ascii="Times New Roman" w:hAnsi="Times New Roman" w:eastAsia="宋体" w:cs="Times New Roman"/>
                <w:kern w:val="2"/>
                <w:sz w:val="18"/>
                <w:szCs w:val="18"/>
                <w:lang w:val="en-US" w:eastAsia="zh-CN" w:bidi="ar-SA"/>
              </w:rPr>
              <w:t>应用程序</w:t>
            </w:r>
            <w:r>
              <w:rPr>
                <w:rFonts w:hint="eastAsia" w:cs="Times New Roman"/>
                <w:kern w:val="2"/>
                <w:sz w:val="18"/>
                <w:szCs w:val="18"/>
                <w:lang w:val="en-US" w:eastAsia="zh-CN" w:bidi="ar-SA"/>
              </w:rPr>
              <w:t>样本所识别的要求，尤其是交易</w:t>
            </w:r>
            <w:r>
              <w:rPr>
                <w:rFonts w:hint="default" w:ascii="Times New Roman" w:hAnsi="Times New Roman" w:eastAsia="宋体" w:cs="Times New Roman"/>
                <w:kern w:val="2"/>
                <w:sz w:val="18"/>
                <w:szCs w:val="18"/>
                <w:lang w:val="en-US" w:eastAsia="zh-CN" w:bidi="ar-SA"/>
              </w:rPr>
              <w:t>服务、电子订购和支付应用程序</w:t>
            </w:r>
          </w:p>
        </w:tc>
      </w:tr>
      <w:tr w14:paraId="60F1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11759E22">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8.27 系统安全架构和工程原则</w:t>
            </w:r>
          </w:p>
        </w:tc>
        <w:tc>
          <w:tcPr>
            <w:tcW w:w="807" w:type="dxa"/>
            <w:tcBorders>
              <w:tl2br w:val="nil"/>
              <w:tr2bl w:val="nil"/>
            </w:tcBorders>
            <w:vAlign w:val="top"/>
          </w:tcPr>
          <w:p w14:paraId="5E0A17E3">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764" w:type="dxa"/>
            <w:tcBorders>
              <w:tl2br w:val="nil"/>
              <w:tr2bl w:val="nil"/>
            </w:tcBorders>
            <w:vAlign w:val="top"/>
          </w:tcPr>
          <w:p w14:paraId="4CC3614E">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szCs w:val="18"/>
                <w:lang w:eastAsia="zh-CN"/>
              </w:rPr>
              <w:t> </w:t>
            </w:r>
          </w:p>
        </w:tc>
        <w:tc>
          <w:tcPr>
            <w:tcW w:w="5668" w:type="dxa"/>
            <w:tcBorders>
              <w:tl2br w:val="nil"/>
              <w:tr2bl w:val="nil"/>
            </w:tcBorders>
            <w:vAlign w:val="top"/>
          </w:tcPr>
          <w:p w14:paraId="0C311B3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所</w:t>
            </w:r>
            <w:r>
              <w:rPr>
                <w:rFonts w:hint="default" w:ascii="Times New Roman" w:hAnsi="Times New Roman" w:eastAsia="宋体" w:cs="Times New Roman"/>
                <w:kern w:val="2"/>
                <w:sz w:val="18"/>
                <w:szCs w:val="18"/>
                <w:lang w:val="en-US" w:eastAsia="zh-CN" w:bidi="ar-SA"/>
              </w:rPr>
              <w:t>建立</w:t>
            </w:r>
            <w:r>
              <w:rPr>
                <w:rFonts w:hint="eastAsia" w:cs="Times New Roman"/>
                <w:kern w:val="2"/>
                <w:sz w:val="18"/>
                <w:szCs w:val="18"/>
                <w:lang w:val="en-US" w:eastAsia="zh-CN" w:bidi="ar-SA"/>
              </w:rPr>
              <w:t>的系统架构</w:t>
            </w:r>
            <w:r>
              <w:rPr>
                <w:rFonts w:hint="default" w:ascii="Times New Roman" w:hAnsi="Times New Roman" w:eastAsia="宋体" w:cs="Times New Roman"/>
                <w:kern w:val="2"/>
                <w:sz w:val="18"/>
                <w:szCs w:val="18"/>
                <w:lang w:val="en-US" w:eastAsia="zh-CN" w:bidi="ar-SA"/>
              </w:rPr>
              <w:t>和安全工程原则，以确保信息系统在开发</w:t>
            </w:r>
            <w:r>
              <w:rPr>
                <w:rFonts w:hint="eastAsia" w:cs="Times New Roman"/>
                <w:kern w:val="2"/>
                <w:sz w:val="18"/>
                <w:szCs w:val="18"/>
                <w:lang w:val="en-US" w:eastAsia="zh-CN" w:bidi="ar-SA"/>
              </w:rPr>
              <w:t>生存</w:t>
            </w:r>
            <w:r>
              <w:rPr>
                <w:rFonts w:hint="default" w:ascii="Times New Roman" w:hAnsi="Times New Roman" w:eastAsia="宋体" w:cs="Times New Roman"/>
                <w:kern w:val="2"/>
                <w:sz w:val="18"/>
                <w:szCs w:val="18"/>
                <w:lang w:val="en-US" w:eastAsia="zh-CN" w:bidi="ar-SA"/>
              </w:rPr>
              <w:t>周期内得到安全设计、实现和</w:t>
            </w:r>
            <w:r>
              <w:rPr>
                <w:rFonts w:hint="eastAsia" w:cs="Times New Roman"/>
                <w:kern w:val="2"/>
                <w:sz w:val="18"/>
                <w:szCs w:val="18"/>
                <w:lang w:val="en-US" w:eastAsia="zh-CN" w:bidi="ar-SA"/>
              </w:rPr>
              <w:t>运行</w:t>
            </w:r>
          </w:p>
          <w:p w14:paraId="43711A9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在软件开发中集成安全工程</w:t>
            </w:r>
            <w:r>
              <w:rPr>
                <w:rFonts w:hint="eastAsia" w:cs="Times New Roman"/>
                <w:kern w:val="2"/>
                <w:sz w:val="18"/>
                <w:szCs w:val="18"/>
                <w:lang w:val="en-US" w:eastAsia="zh-CN" w:bidi="ar-SA"/>
              </w:rPr>
              <w:t>原则</w:t>
            </w:r>
          </w:p>
          <w:p w14:paraId="47D3F650">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具体</w:t>
            </w:r>
            <w:r>
              <w:rPr>
                <w:rFonts w:hint="default" w:ascii="Times New Roman" w:hAnsi="Times New Roman" w:eastAsia="宋体" w:cs="Times New Roman"/>
                <w:kern w:val="2"/>
                <w:sz w:val="18"/>
                <w:szCs w:val="18"/>
                <w:lang w:val="en-US" w:eastAsia="zh-CN" w:bidi="ar-SA"/>
              </w:rPr>
              <w:t>应用程序的安全实现</w:t>
            </w:r>
            <w:r>
              <w:rPr>
                <w:rFonts w:hint="eastAsia" w:cs="Times New Roman"/>
                <w:kern w:val="2"/>
                <w:sz w:val="18"/>
                <w:szCs w:val="18"/>
                <w:lang w:val="en-US" w:eastAsia="zh-CN" w:bidi="ar-SA"/>
              </w:rPr>
              <w:t>样本，证实</w:t>
            </w:r>
            <w:r>
              <w:rPr>
                <w:rFonts w:hint="default" w:ascii="Times New Roman" w:hAnsi="Times New Roman" w:eastAsia="宋体" w:cs="Times New Roman"/>
                <w:kern w:val="2"/>
                <w:sz w:val="18"/>
                <w:szCs w:val="18"/>
                <w:lang w:val="en-US" w:eastAsia="zh-CN" w:bidi="ar-SA"/>
              </w:rPr>
              <w:t>上述工程原理的使用</w:t>
            </w:r>
          </w:p>
          <w:p w14:paraId="724452F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适用时，</w:t>
            </w:r>
            <w:r>
              <w:rPr>
                <w:rFonts w:hint="default" w:ascii="Times New Roman" w:hAnsi="Times New Roman" w:eastAsia="宋体" w:cs="Times New Roman"/>
                <w:kern w:val="2"/>
                <w:sz w:val="18"/>
                <w:szCs w:val="18"/>
                <w:lang w:val="en-US" w:eastAsia="zh-CN" w:bidi="ar-SA"/>
              </w:rPr>
              <w:t>在外包开发合同中嵌入安全工程原则</w:t>
            </w:r>
          </w:p>
        </w:tc>
      </w:tr>
      <w:tr w14:paraId="0386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F769568">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8.28 安全编码</w:t>
            </w:r>
          </w:p>
        </w:tc>
        <w:tc>
          <w:tcPr>
            <w:tcW w:w="807" w:type="dxa"/>
            <w:tcBorders>
              <w:tl2br w:val="nil"/>
              <w:tr2bl w:val="nil"/>
            </w:tcBorders>
            <w:vAlign w:val="top"/>
          </w:tcPr>
          <w:p w14:paraId="1983C79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77A050A6">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5B35D7CD">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新开发和重用场景</w:t>
            </w:r>
            <w:r>
              <w:rPr>
                <w:rFonts w:hint="eastAsia" w:cs="Times New Roman"/>
                <w:kern w:val="2"/>
                <w:sz w:val="18"/>
                <w:szCs w:val="18"/>
                <w:lang w:val="en-US" w:eastAsia="zh-CN" w:bidi="ar-SA"/>
              </w:rPr>
              <w:t>中所用的</w:t>
            </w:r>
            <w:r>
              <w:rPr>
                <w:rFonts w:hint="default" w:ascii="Times New Roman" w:hAnsi="Times New Roman" w:eastAsia="宋体" w:cs="Times New Roman"/>
                <w:kern w:val="2"/>
                <w:sz w:val="18"/>
                <w:szCs w:val="18"/>
                <w:lang w:val="en-US" w:eastAsia="zh-CN" w:bidi="ar-SA"/>
              </w:rPr>
              <w:t>安全编码原则</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规则</w:t>
            </w:r>
          </w:p>
          <w:p w14:paraId="2CD9AD0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确保在</w:t>
            </w:r>
            <w:r>
              <w:rPr>
                <w:rFonts w:hint="eastAsia" w:cs="Times New Roman"/>
                <w:kern w:val="2"/>
                <w:sz w:val="18"/>
                <w:szCs w:val="18"/>
                <w:lang w:val="en-US" w:eastAsia="zh-CN" w:bidi="ar-SA"/>
              </w:rPr>
              <w:t>规划</w:t>
            </w:r>
            <w:r>
              <w:rPr>
                <w:rFonts w:hint="default" w:ascii="Times New Roman" w:hAnsi="Times New Roman" w:eastAsia="宋体" w:cs="Times New Roman"/>
                <w:kern w:val="2"/>
                <w:sz w:val="18"/>
                <w:szCs w:val="18"/>
                <w:lang w:val="en-US" w:eastAsia="zh-CN" w:bidi="ar-SA"/>
              </w:rPr>
              <w:t>、编码前、编码期间以及评审和维护期间应用安全编码原则的</w:t>
            </w:r>
            <w:r>
              <w:rPr>
                <w:rFonts w:hint="eastAsia" w:cs="Times New Roman"/>
                <w:kern w:val="2"/>
                <w:sz w:val="18"/>
                <w:szCs w:val="18"/>
                <w:lang w:val="en-US" w:eastAsia="zh-CN" w:bidi="ar-SA"/>
              </w:rPr>
              <w:t>过程</w:t>
            </w:r>
          </w:p>
          <w:p w14:paraId="5B376617">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最近开发活动样本</w:t>
            </w:r>
            <w:r>
              <w:rPr>
                <w:rFonts w:hint="eastAsia" w:cs="Times New Roman"/>
                <w:kern w:val="2"/>
                <w:sz w:val="18"/>
                <w:szCs w:val="18"/>
                <w:lang w:val="en-US" w:eastAsia="zh-CN" w:bidi="ar-SA"/>
              </w:rPr>
              <w:t>中具体</w:t>
            </w:r>
            <w:r>
              <w:rPr>
                <w:rFonts w:hint="default" w:ascii="Times New Roman" w:hAnsi="Times New Roman" w:eastAsia="宋体" w:cs="Times New Roman"/>
                <w:kern w:val="2"/>
                <w:sz w:val="18"/>
                <w:szCs w:val="18"/>
                <w:lang w:val="en-US" w:eastAsia="zh-CN" w:bidi="ar-SA"/>
              </w:rPr>
              <w:t>安全编码原则的应用，包括代码扫描技术</w:t>
            </w:r>
          </w:p>
          <w:p w14:paraId="33DA846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代码的保护机制，包括访问限制</w:t>
            </w:r>
          </w:p>
        </w:tc>
      </w:tr>
      <w:tr w14:paraId="4570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4EE5FEF0">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8.29 开发和验收中的安全测试</w:t>
            </w:r>
          </w:p>
        </w:tc>
        <w:tc>
          <w:tcPr>
            <w:tcW w:w="807" w:type="dxa"/>
            <w:tcBorders>
              <w:tl2br w:val="nil"/>
              <w:tr2bl w:val="nil"/>
            </w:tcBorders>
            <w:vAlign w:val="top"/>
          </w:tcPr>
          <w:p w14:paraId="32D4A20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498A2D3A">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581C3DB2">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安全测试规则</w:t>
            </w:r>
            <w:r>
              <w:rPr>
                <w:rFonts w:hint="eastAsia" w:cs="Times New Roman"/>
                <w:kern w:val="2"/>
                <w:sz w:val="18"/>
                <w:szCs w:val="18"/>
                <w:lang w:val="en-US" w:eastAsia="zh-CN" w:bidi="ar-SA"/>
              </w:rPr>
              <w:t>，以便</w:t>
            </w:r>
            <w:r>
              <w:rPr>
                <w:rFonts w:hint="default" w:ascii="Times New Roman" w:hAnsi="Times New Roman" w:eastAsia="宋体" w:cs="Times New Roman"/>
                <w:kern w:val="2"/>
                <w:sz w:val="18"/>
                <w:szCs w:val="18"/>
                <w:lang w:val="en-US" w:eastAsia="zh-CN" w:bidi="ar-SA"/>
              </w:rPr>
              <w:t>在将应用程序或代码部署到生产环境时，验证信息安全</w:t>
            </w:r>
            <w:r>
              <w:rPr>
                <w:rFonts w:hint="eastAsia" w:cs="Times New Roman"/>
                <w:kern w:val="2"/>
                <w:sz w:val="18"/>
                <w:szCs w:val="18"/>
                <w:lang w:val="en-US" w:eastAsia="zh-CN" w:bidi="ar-SA"/>
              </w:rPr>
              <w:t>要求</w:t>
            </w:r>
            <w:r>
              <w:rPr>
                <w:rFonts w:hint="default" w:ascii="Times New Roman" w:hAnsi="Times New Roman" w:eastAsia="宋体" w:cs="Times New Roman"/>
                <w:kern w:val="2"/>
                <w:sz w:val="18"/>
                <w:szCs w:val="18"/>
                <w:lang w:val="en-US" w:eastAsia="zh-CN" w:bidi="ar-SA"/>
              </w:rPr>
              <w:t>是否得到满足</w:t>
            </w:r>
          </w:p>
          <w:p w14:paraId="46EBDF5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实际用于安全测试的</w:t>
            </w:r>
            <w:r>
              <w:rPr>
                <w:rFonts w:hint="eastAsia" w:cs="Times New Roman"/>
                <w:kern w:val="2"/>
                <w:sz w:val="18"/>
                <w:szCs w:val="18"/>
                <w:lang w:val="en-US" w:eastAsia="zh-CN" w:bidi="ar-SA"/>
              </w:rPr>
              <w:t>要求</w:t>
            </w:r>
            <w:r>
              <w:rPr>
                <w:rFonts w:hint="default" w:ascii="Times New Roman" w:hAnsi="Times New Roman" w:eastAsia="宋体" w:cs="Times New Roman"/>
                <w:kern w:val="2"/>
                <w:sz w:val="18"/>
                <w:szCs w:val="18"/>
                <w:lang w:val="en-US" w:eastAsia="zh-CN" w:bidi="ar-SA"/>
              </w:rPr>
              <w:t>集样本</w:t>
            </w:r>
            <w:r>
              <w:rPr>
                <w:rFonts w:hint="eastAsia" w:cs="Times New Roman"/>
                <w:kern w:val="2"/>
                <w:sz w:val="18"/>
                <w:szCs w:val="18"/>
                <w:lang w:val="en-US" w:eastAsia="zh-CN" w:bidi="ar-SA"/>
              </w:rPr>
              <w:t>，以及</w:t>
            </w:r>
            <w:r>
              <w:rPr>
                <w:rFonts w:hint="default" w:ascii="Times New Roman" w:hAnsi="Times New Roman" w:eastAsia="宋体" w:cs="Times New Roman"/>
                <w:kern w:val="2"/>
                <w:sz w:val="18"/>
                <w:szCs w:val="18"/>
                <w:lang w:val="en-US" w:eastAsia="zh-CN" w:bidi="ar-SA"/>
              </w:rPr>
              <w:t>相应的测试结果</w:t>
            </w:r>
          </w:p>
          <w:p w14:paraId="04396F9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自动化测试工具</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例如</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代码分析工具、漏洞扫描器、功能测试</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的输出和</w:t>
            </w:r>
            <w:r>
              <w:rPr>
                <w:rFonts w:hint="eastAsia" w:cs="Times New Roman"/>
                <w:kern w:val="2"/>
                <w:sz w:val="18"/>
                <w:szCs w:val="18"/>
                <w:lang w:val="en-US" w:eastAsia="zh-CN" w:bidi="ar-SA"/>
              </w:rPr>
              <w:t>后续行动</w:t>
            </w:r>
          </w:p>
        </w:tc>
      </w:tr>
      <w:tr w14:paraId="1591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26B6BAA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8.3</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 xml:space="preserve"> 开发外包</w:t>
            </w:r>
          </w:p>
        </w:tc>
        <w:tc>
          <w:tcPr>
            <w:tcW w:w="807" w:type="dxa"/>
            <w:tcBorders>
              <w:tl2br w:val="nil"/>
              <w:tr2bl w:val="nil"/>
            </w:tcBorders>
            <w:vAlign w:val="top"/>
          </w:tcPr>
          <w:p w14:paraId="293379A7">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764" w:type="dxa"/>
            <w:tcBorders>
              <w:tl2br w:val="nil"/>
              <w:tr2bl w:val="nil"/>
            </w:tcBorders>
            <w:vAlign w:val="top"/>
          </w:tcPr>
          <w:p w14:paraId="31D04F52">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0925CE8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关于如何在系统开发外包中</w:t>
            </w:r>
            <w:r>
              <w:rPr>
                <w:rFonts w:hint="eastAsia" w:cs="Times New Roman"/>
                <w:kern w:val="2"/>
                <w:sz w:val="18"/>
                <w:szCs w:val="18"/>
                <w:lang w:val="en-US" w:eastAsia="zh-CN" w:bidi="ar-SA"/>
              </w:rPr>
              <w:t>实现</w:t>
            </w:r>
            <w:r>
              <w:rPr>
                <w:rFonts w:hint="default" w:ascii="Times New Roman" w:hAnsi="Times New Roman" w:eastAsia="宋体" w:cs="Times New Roman"/>
                <w:kern w:val="2"/>
                <w:sz w:val="18"/>
                <w:szCs w:val="18"/>
                <w:lang w:val="en-US" w:eastAsia="zh-CN" w:bidi="ar-SA"/>
              </w:rPr>
              <w:t>组织要求的信息安全措施的规则</w:t>
            </w:r>
          </w:p>
          <w:p w14:paraId="01A98155">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指导、监督和</w:t>
            </w:r>
            <w:r>
              <w:rPr>
                <w:rFonts w:hint="eastAsia" w:cs="Times New Roman"/>
                <w:kern w:val="2"/>
                <w:sz w:val="18"/>
                <w:szCs w:val="18"/>
                <w:lang w:val="en-US" w:eastAsia="zh-CN" w:bidi="ar-SA"/>
              </w:rPr>
              <w:t>评审</w:t>
            </w:r>
            <w:r>
              <w:rPr>
                <w:rFonts w:hint="default" w:ascii="Times New Roman" w:hAnsi="Times New Roman" w:eastAsia="宋体" w:cs="Times New Roman"/>
                <w:kern w:val="2"/>
                <w:sz w:val="18"/>
                <w:szCs w:val="18"/>
                <w:lang w:val="en-US" w:eastAsia="zh-CN" w:bidi="ar-SA"/>
              </w:rPr>
              <w:t>与系统开发</w:t>
            </w:r>
            <w:r>
              <w:rPr>
                <w:rFonts w:hint="eastAsia" w:cs="Times New Roman"/>
                <w:kern w:val="2"/>
                <w:sz w:val="18"/>
                <w:szCs w:val="18"/>
                <w:lang w:val="en-US" w:eastAsia="zh-CN" w:bidi="ar-SA"/>
              </w:rPr>
              <w:t>外包</w:t>
            </w:r>
            <w:r>
              <w:rPr>
                <w:rFonts w:hint="default" w:ascii="Times New Roman" w:hAnsi="Times New Roman" w:eastAsia="宋体" w:cs="Times New Roman"/>
                <w:kern w:val="2"/>
                <w:sz w:val="18"/>
                <w:szCs w:val="18"/>
                <w:lang w:val="en-US" w:eastAsia="zh-CN" w:bidi="ar-SA"/>
              </w:rPr>
              <w:t>有关的活动</w:t>
            </w:r>
            <w:r>
              <w:rPr>
                <w:rFonts w:hint="eastAsia" w:cs="Times New Roman"/>
                <w:kern w:val="2"/>
                <w:sz w:val="18"/>
                <w:szCs w:val="18"/>
                <w:lang w:val="en-US" w:eastAsia="zh-CN" w:bidi="ar-SA"/>
              </w:rPr>
              <w:t>的规程的实施</w:t>
            </w:r>
          </w:p>
          <w:p w14:paraId="7A3C138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供应商</w:t>
            </w:r>
            <w:r>
              <w:rPr>
                <w:rFonts w:hint="eastAsia" w:cs="Times New Roman"/>
                <w:kern w:val="2"/>
                <w:sz w:val="18"/>
                <w:szCs w:val="18"/>
                <w:lang w:val="en-US" w:eastAsia="zh-CN" w:bidi="ar-SA"/>
              </w:rPr>
              <w:t>的监视或评审结果，</w:t>
            </w:r>
            <w:r>
              <w:rPr>
                <w:rFonts w:hint="default" w:ascii="Times New Roman" w:hAnsi="Times New Roman" w:eastAsia="宋体" w:cs="Times New Roman"/>
                <w:kern w:val="2"/>
                <w:sz w:val="18"/>
                <w:szCs w:val="18"/>
                <w:lang w:val="en-US" w:eastAsia="zh-CN" w:bidi="ar-SA"/>
              </w:rPr>
              <w:t>以确保达到预期结果</w:t>
            </w:r>
          </w:p>
        </w:tc>
      </w:tr>
      <w:tr w14:paraId="576F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75318642">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8.31 开发、测试和生产环境的隔离</w:t>
            </w:r>
          </w:p>
        </w:tc>
        <w:tc>
          <w:tcPr>
            <w:tcW w:w="807" w:type="dxa"/>
            <w:tcBorders>
              <w:tl2br w:val="nil"/>
              <w:tr2bl w:val="nil"/>
            </w:tcBorders>
            <w:vAlign w:val="top"/>
          </w:tcPr>
          <w:p w14:paraId="526237E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0E876CDF">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32328AF1">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生产、测试和开发环境之间</w:t>
            </w:r>
            <w:r>
              <w:rPr>
                <w:rFonts w:hint="eastAsia" w:cs="Times New Roman"/>
                <w:kern w:val="2"/>
                <w:sz w:val="18"/>
                <w:szCs w:val="18"/>
                <w:lang w:val="en-US" w:eastAsia="zh-CN" w:bidi="ar-SA"/>
              </w:rPr>
              <w:t>隔离</w:t>
            </w:r>
            <w:r>
              <w:rPr>
                <w:rFonts w:hint="default" w:ascii="Times New Roman" w:hAnsi="Times New Roman" w:eastAsia="宋体" w:cs="Times New Roman"/>
                <w:kern w:val="2"/>
                <w:sz w:val="18"/>
                <w:szCs w:val="18"/>
                <w:lang w:val="en-US" w:eastAsia="zh-CN" w:bidi="ar-SA"/>
              </w:rPr>
              <w:t>级别</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规则，包括针对不同开发环境的特定</w:t>
            </w:r>
            <w:r>
              <w:rPr>
                <w:rFonts w:hint="eastAsia" w:cs="Times New Roman"/>
                <w:kern w:val="2"/>
                <w:sz w:val="18"/>
                <w:szCs w:val="18"/>
                <w:lang w:val="en-US" w:eastAsia="zh-CN" w:bidi="ar-SA"/>
              </w:rPr>
              <w:t>要求</w:t>
            </w:r>
          </w:p>
          <w:p w14:paraId="22054DC8">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开发、测试和生产环境之间的</w:t>
            </w:r>
            <w:r>
              <w:rPr>
                <w:rFonts w:hint="eastAsia" w:cs="Times New Roman"/>
                <w:kern w:val="2"/>
                <w:sz w:val="18"/>
                <w:szCs w:val="18"/>
                <w:lang w:val="en-US" w:eastAsia="zh-CN" w:bidi="ar-SA"/>
              </w:rPr>
              <w:t>隔离</w:t>
            </w:r>
          </w:p>
          <w:p w14:paraId="507C9176">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测试和生产环境的保护</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例如，访问限制</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网络隔离，确保不使用敏感的生产信息</w:t>
            </w:r>
            <w:r>
              <w:rPr>
                <w:rFonts w:hint="eastAsia" w:cs="Times New Roman"/>
                <w:kern w:val="2"/>
                <w:sz w:val="18"/>
                <w:szCs w:val="18"/>
                <w:lang w:val="en-US" w:eastAsia="zh-CN" w:bidi="ar-SA"/>
              </w:rPr>
              <w:t>）</w:t>
            </w:r>
          </w:p>
        </w:tc>
      </w:tr>
      <w:tr w14:paraId="3BA7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52BCAACC">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8.32 变更管理</w:t>
            </w:r>
          </w:p>
        </w:tc>
        <w:tc>
          <w:tcPr>
            <w:tcW w:w="807" w:type="dxa"/>
            <w:tcBorders>
              <w:tl2br w:val="nil"/>
              <w:tr2bl w:val="nil"/>
            </w:tcBorders>
            <w:vAlign w:val="top"/>
          </w:tcPr>
          <w:p w14:paraId="33FDB325">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推荐的</w:t>
            </w:r>
          </w:p>
        </w:tc>
        <w:tc>
          <w:tcPr>
            <w:tcW w:w="764" w:type="dxa"/>
            <w:tcBorders>
              <w:tl2br w:val="nil"/>
              <w:tr2bl w:val="nil"/>
            </w:tcBorders>
            <w:vAlign w:val="top"/>
          </w:tcPr>
          <w:p w14:paraId="07349CA4">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1527EBCA">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变更管理规则，</w:t>
            </w:r>
            <w:r>
              <w:rPr>
                <w:rFonts w:hint="default" w:ascii="Times New Roman" w:hAnsi="Times New Roman" w:eastAsia="宋体" w:cs="Times New Roman"/>
                <w:kern w:val="2"/>
                <w:sz w:val="18"/>
                <w:szCs w:val="18"/>
                <w:lang w:val="en-US" w:eastAsia="zh-CN" w:bidi="ar-SA"/>
              </w:rPr>
              <w:t>以保护信息安全</w:t>
            </w:r>
          </w:p>
          <w:p w14:paraId="29470F5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变更控制</w:t>
            </w:r>
            <w:r>
              <w:rPr>
                <w:rFonts w:hint="eastAsia" w:cs="Times New Roman"/>
                <w:kern w:val="2"/>
                <w:sz w:val="18"/>
                <w:szCs w:val="18"/>
                <w:lang w:val="en-US" w:eastAsia="zh-CN" w:bidi="ar-SA"/>
              </w:rPr>
              <w:t>规程</w:t>
            </w:r>
            <w:r>
              <w:rPr>
                <w:rFonts w:hint="default" w:ascii="Times New Roman" w:hAnsi="Times New Roman" w:eastAsia="宋体" w:cs="Times New Roman"/>
                <w:kern w:val="2"/>
                <w:sz w:val="18"/>
                <w:szCs w:val="18"/>
                <w:lang w:val="en-US" w:eastAsia="zh-CN" w:bidi="ar-SA"/>
              </w:rPr>
              <w:t>，</w:t>
            </w:r>
            <w:r>
              <w:rPr>
                <w:rFonts w:hint="eastAsia" w:cs="Times New Roman"/>
                <w:kern w:val="2"/>
                <w:sz w:val="18"/>
                <w:szCs w:val="18"/>
                <w:lang w:val="en-US" w:eastAsia="zh-CN" w:bidi="ar-SA"/>
              </w:rPr>
              <w:t>例如，</w:t>
            </w:r>
            <w:r>
              <w:rPr>
                <w:rFonts w:hint="default" w:ascii="Times New Roman" w:hAnsi="Times New Roman" w:eastAsia="宋体" w:cs="Times New Roman"/>
                <w:kern w:val="2"/>
                <w:sz w:val="18"/>
                <w:szCs w:val="18"/>
                <w:lang w:val="en-US" w:eastAsia="zh-CN" w:bidi="ar-SA"/>
              </w:rPr>
              <w:t>文件、</w:t>
            </w:r>
            <w:r>
              <w:rPr>
                <w:rFonts w:hint="eastAsia" w:cs="Times New Roman"/>
                <w:kern w:val="2"/>
                <w:sz w:val="18"/>
                <w:szCs w:val="18"/>
                <w:lang w:val="en-US" w:eastAsia="zh-CN" w:bidi="ar-SA"/>
              </w:rPr>
              <w:t>规范</w:t>
            </w:r>
            <w:r>
              <w:rPr>
                <w:rFonts w:hint="default" w:ascii="Times New Roman" w:hAnsi="Times New Roman" w:eastAsia="宋体" w:cs="Times New Roman"/>
                <w:kern w:val="2"/>
                <w:sz w:val="18"/>
                <w:szCs w:val="18"/>
                <w:lang w:val="en-US" w:eastAsia="zh-CN" w:bidi="ar-SA"/>
              </w:rPr>
              <w:t>、测试、质量控制和</w:t>
            </w:r>
            <w:r>
              <w:rPr>
                <w:rFonts w:hint="eastAsia" w:cs="Times New Roman"/>
                <w:kern w:val="2"/>
                <w:sz w:val="18"/>
                <w:szCs w:val="18"/>
                <w:lang w:val="en-US" w:eastAsia="zh-CN" w:bidi="ar-SA"/>
              </w:rPr>
              <w:t>受控的</w:t>
            </w:r>
            <w:r>
              <w:rPr>
                <w:rFonts w:hint="default" w:ascii="Times New Roman" w:hAnsi="Times New Roman" w:eastAsia="宋体" w:cs="Times New Roman"/>
                <w:kern w:val="2"/>
                <w:sz w:val="18"/>
                <w:szCs w:val="18"/>
                <w:lang w:val="en-US" w:eastAsia="zh-CN" w:bidi="ar-SA"/>
              </w:rPr>
              <w:t>实施</w:t>
            </w:r>
          </w:p>
          <w:p w14:paraId="39EBAD4C">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变更</w:t>
            </w:r>
            <w:r>
              <w:rPr>
                <w:rFonts w:hint="eastAsia" w:cs="Times New Roman"/>
                <w:kern w:val="2"/>
                <w:sz w:val="18"/>
                <w:szCs w:val="18"/>
                <w:lang w:val="en-US" w:eastAsia="zh-CN" w:bidi="ar-SA"/>
              </w:rPr>
              <w:t>的实施</w:t>
            </w:r>
            <w:r>
              <w:rPr>
                <w:rFonts w:hint="default" w:ascii="Times New Roman" w:hAnsi="Times New Roman" w:eastAsia="宋体" w:cs="Times New Roman"/>
                <w:kern w:val="2"/>
                <w:sz w:val="18"/>
                <w:szCs w:val="18"/>
                <w:lang w:val="en-US" w:eastAsia="zh-CN" w:bidi="ar-SA"/>
              </w:rPr>
              <w:t>示例</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显示了如何测试、批准和部署变更</w:t>
            </w:r>
          </w:p>
        </w:tc>
      </w:tr>
      <w:tr w14:paraId="072E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0CAB08B7">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color w:val="000000"/>
                <w:sz w:val="18"/>
                <w:szCs w:val="18"/>
              </w:rPr>
              <w:t>8.33 测试信息</w:t>
            </w:r>
          </w:p>
        </w:tc>
        <w:tc>
          <w:tcPr>
            <w:tcW w:w="807" w:type="dxa"/>
            <w:tcBorders>
              <w:tl2br w:val="nil"/>
              <w:tr2bl w:val="nil"/>
            </w:tcBorders>
            <w:vAlign w:val="top"/>
          </w:tcPr>
          <w:p w14:paraId="29D49281">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63F1D600">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04EFFF5F">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适当</w:t>
            </w:r>
            <w:r>
              <w:rPr>
                <w:rFonts w:hint="eastAsia" w:cs="Times New Roman"/>
                <w:kern w:val="2"/>
                <w:sz w:val="18"/>
                <w:szCs w:val="18"/>
                <w:lang w:val="en-US" w:eastAsia="zh-CN" w:bidi="ar-SA"/>
              </w:rPr>
              <w:t>地</w:t>
            </w:r>
            <w:r>
              <w:rPr>
                <w:rFonts w:hint="default" w:ascii="Times New Roman" w:hAnsi="Times New Roman" w:eastAsia="宋体" w:cs="Times New Roman"/>
                <w:kern w:val="2"/>
                <w:sz w:val="18"/>
                <w:szCs w:val="18"/>
                <w:lang w:val="en-US" w:eastAsia="zh-CN" w:bidi="ar-SA"/>
              </w:rPr>
              <w:t>选择、使用、保护和管理</w:t>
            </w:r>
            <w:r>
              <w:rPr>
                <w:rFonts w:hint="eastAsia" w:cs="Times New Roman"/>
                <w:kern w:val="2"/>
                <w:sz w:val="18"/>
                <w:szCs w:val="18"/>
                <w:lang w:val="en-US" w:eastAsia="zh-CN" w:bidi="ar-SA"/>
              </w:rPr>
              <w:t>测试信息的</w:t>
            </w:r>
            <w:r>
              <w:rPr>
                <w:rFonts w:hint="default" w:ascii="Times New Roman" w:hAnsi="Times New Roman" w:eastAsia="宋体" w:cs="Times New Roman"/>
                <w:kern w:val="2"/>
                <w:sz w:val="18"/>
                <w:szCs w:val="18"/>
                <w:lang w:val="en-US" w:eastAsia="zh-CN" w:bidi="ar-SA"/>
              </w:rPr>
              <w:t>规则</w:t>
            </w:r>
          </w:p>
          <w:p w14:paraId="25236D7B">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eastAsia" w:cs="Times New Roman"/>
                <w:kern w:val="2"/>
                <w:sz w:val="18"/>
                <w:szCs w:val="18"/>
                <w:lang w:val="en-US" w:eastAsia="zh-CN" w:bidi="ar-SA"/>
              </w:rPr>
              <w:t>保护用于测试的运行信息的规程（例如，脱敏）</w:t>
            </w:r>
          </w:p>
          <w:p w14:paraId="1295789E">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从测试环境中删除</w:t>
            </w:r>
            <w:r>
              <w:rPr>
                <w:rFonts w:hint="eastAsia" w:cs="Times New Roman"/>
                <w:kern w:val="2"/>
                <w:sz w:val="18"/>
                <w:szCs w:val="18"/>
                <w:lang w:val="en-US" w:eastAsia="zh-CN" w:bidi="ar-SA"/>
              </w:rPr>
              <w:t>的</w:t>
            </w:r>
            <w:r>
              <w:rPr>
                <w:rFonts w:hint="default" w:ascii="Times New Roman" w:hAnsi="Times New Roman" w:eastAsia="宋体" w:cs="Times New Roman"/>
                <w:kern w:val="2"/>
                <w:sz w:val="18"/>
                <w:szCs w:val="18"/>
                <w:lang w:val="en-US" w:eastAsia="zh-CN" w:bidi="ar-SA"/>
              </w:rPr>
              <w:t>信息</w:t>
            </w:r>
            <w:r>
              <w:rPr>
                <w:rFonts w:hint="eastAsia" w:cs="Times New Roman"/>
                <w:kern w:val="2"/>
                <w:sz w:val="18"/>
                <w:szCs w:val="18"/>
                <w:lang w:val="en-US" w:eastAsia="zh-CN" w:bidi="ar-SA"/>
              </w:rPr>
              <w:t>样本</w:t>
            </w:r>
          </w:p>
        </w:tc>
      </w:tr>
      <w:tr w14:paraId="666C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l2br w:val="nil"/>
              <w:tr2bl w:val="nil"/>
            </w:tcBorders>
            <w:vAlign w:val="top"/>
          </w:tcPr>
          <w:p w14:paraId="35F60CCC">
            <w:pPr>
              <w:pStyle w:val="265"/>
              <w:autoSpaceDE w:val="0"/>
              <w:autoSpaceDN w:val="0"/>
              <w:adjustRightInd w:val="0"/>
              <w:spacing w:before="0" w:after="0" w:line="240" w:lineRule="auto"/>
              <w:rPr>
                <w:rFonts w:hint="eastAsia" w:ascii="宋体" w:hAnsi="宋体" w:eastAsia="宋体" w:cs="宋体"/>
                <w:szCs w:val="18"/>
                <w:lang w:eastAsia="zh-CN"/>
              </w:rPr>
            </w:pPr>
            <w:r>
              <w:rPr>
                <w:rFonts w:hint="eastAsia" w:ascii="宋体" w:hAnsi="宋体" w:eastAsia="宋体" w:cs="宋体"/>
                <w:color w:val="000000"/>
                <w:sz w:val="18"/>
                <w:szCs w:val="18"/>
                <w:lang w:eastAsia="zh-CN"/>
              </w:rPr>
              <w:t>8.34 在审计测试中保护信息系统</w:t>
            </w:r>
          </w:p>
        </w:tc>
        <w:tc>
          <w:tcPr>
            <w:tcW w:w="807" w:type="dxa"/>
            <w:tcBorders>
              <w:tl2br w:val="nil"/>
              <w:tr2bl w:val="nil"/>
            </w:tcBorders>
            <w:vAlign w:val="top"/>
          </w:tcPr>
          <w:p w14:paraId="45E3D333">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可能的</w:t>
            </w:r>
          </w:p>
        </w:tc>
        <w:tc>
          <w:tcPr>
            <w:tcW w:w="764" w:type="dxa"/>
            <w:tcBorders>
              <w:tl2br w:val="nil"/>
              <w:tr2bl w:val="nil"/>
            </w:tcBorders>
            <w:vAlign w:val="top"/>
          </w:tcPr>
          <w:p w14:paraId="3365BD02">
            <w:pPr>
              <w:pStyle w:val="265"/>
              <w:autoSpaceDE w:val="0"/>
              <w:autoSpaceDN w:val="0"/>
              <w:adjustRightInd w:val="0"/>
              <w:spacing w:before="0" w:after="0" w:line="240" w:lineRule="auto"/>
              <w:rPr>
                <w:rFonts w:hint="eastAsia" w:ascii="宋体" w:hAnsi="宋体" w:eastAsia="宋体" w:cs="宋体"/>
                <w:szCs w:val="18"/>
              </w:rPr>
            </w:pPr>
            <w:r>
              <w:rPr>
                <w:rFonts w:hint="eastAsia" w:ascii="宋体" w:hAnsi="宋体" w:eastAsia="宋体" w:cs="宋体"/>
                <w:szCs w:val="18"/>
              </w:rPr>
              <w:t> </w:t>
            </w:r>
          </w:p>
        </w:tc>
        <w:tc>
          <w:tcPr>
            <w:tcW w:w="5668" w:type="dxa"/>
            <w:tcBorders>
              <w:tl2br w:val="nil"/>
              <w:tr2bl w:val="nil"/>
            </w:tcBorders>
            <w:vAlign w:val="top"/>
          </w:tcPr>
          <w:p w14:paraId="389808A9">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涉及</w:t>
            </w:r>
            <w:r>
              <w:rPr>
                <w:rFonts w:hint="eastAsia" w:cs="Times New Roman"/>
                <w:kern w:val="2"/>
                <w:sz w:val="18"/>
                <w:szCs w:val="18"/>
                <w:lang w:val="en-US" w:eastAsia="zh-CN" w:bidi="ar-SA"/>
              </w:rPr>
              <w:t>运行</w:t>
            </w:r>
            <w:r>
              <w:rPr>
                <w:rFonts w:hint="default" w:ascii="Times New Roman" w:hAnsi="Times New Roman" w:eastAsia="宋体" w:cs="Times New Roman"/>
                <w:kern w:val="2"/>
                <w:sz w:val="18"/>
                <w:szCs w:val="18"/>
                <w:lang w:val="en-US" w:eastAsia="zh-CN" w:bidi="ar-SA"/>
              </w:rPr>
              <w:t>系统评估的审计测试或其他</w:t>
            </w:r>
            <w:r>
              <w:rPr>
                <w:rFonts w:hint="eastAsia" w:cs="Times New Roman"/>
                <w:kern w:val="2"/>
                <w:sz w:val="18"/>
                <w:szCs w:val="18"/>
                <w:lang w:val="en-US" w:eastAsia="zh-CN" w:bidi="ar-SA"/>
              </w:rPr>
              <w:t>保障</w:t>
            </w:r>
            <w:r>
              <w:rPr>
                <w:rFonts w:hint="default" w:ascii="Times New Roman" w:hAnsi="Times New Roman" w:eastAsia="宋体" w:cs="Times New Roman"/>
                <w:kern w:val="2"/>
                <w:sz w:val="18"/>
                <w:szCs w:val="18"/>
                <w:lang w:val="en-US" w:eastAsia="zh-CN" w:bidi="ar-SA"/>
              </w:rPr>
              <w:t>活动的清单</w:t>
            </w:r>
          </w:p>
          <w:p w14:paraId="7777D648">
            <w:pPr>
              <w:keepNext w:val="0"/>
              <w:keepLines w:val="0"/>
              <w:pageBreakBefore w:val="0"/>
              <w:widowControl w:val="0"/>
              <w:numPr>
                <w:ilvl w:val="0"/>
                <w:numId w:val="0"/>
              </w:numPr>
              <w:kinsoku/>
              <w:wordWrap/>
              <w:overflowPunct/>
              <w:topLinePunct w:val="0"/>
              <w:autoSpaceDE/>
              <w:autoSpaceDN/>
              <w:bidi w:val="0"/>
              <w:adjustRightInd/>
              <w:snapToGrid/>
              <w:ind w:left="0" w:hanging="360" w:hanging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已</w:t>
            </w:r>
            <w:r>
              <w:rPr>
                <w:rFonts w:hint="eastAsia" w:cs="Times New Roman"/>
                <w:kern w:val="2"/>
                <w:sz w:val="18"/>
                <w:szCs w:val="18"/>
                <w:lang w:val="en-US" w:eastAsia="zh-CN" w:bidi="ar-SA"/>
              </w:rPr>
              <w:t>完成</w:t>
            </w:r>
            <w:r>
              <w:rPr>
                <w:rFonts w:hint="default" w:ascii="Times New Roman" w:hAnsi="Times New Roman" w:eastAsia="宋体" w:cs="Times New Roman"/>
                <w:kern w:val="2"/>
                <w:sz w:val="18"/>
                <w:szCs w:val="18"/>
                <w:lang w:val="en-US" w:eastAsia="zh-CN" w:bidi="ar-SA"/>
              </w:rPr>
              <w:t>的审计测试样本，以及</w:t>
            </w:r>
            <w:r>
              <w:rPr>
                <w:rFonts w:hint="eastAsia" w:cs="Times New Roman"/>
                <w:kern w:val="2"/>
                <w:sz w:val="18"/>
                <w:szCs w:val="18"/>
                <w:lang w:val="en-US" w:eastAsia="zh-CN" w:bidi="ar-SA"/>
              </w:rPr>
              <w:t>是</w:t>
            </w:r>
            <w:r>
              <w:rPr>
                <w:rFonts w:hint="default" w:ascii="Times New Roman" w:hAnsi="Times New Roman" w:eastAsia="宋体" w:cs="Times New Roman"/>
                <w:kern w:val="2"/>
                <w:sz w:val="18"/>
                <w:szCs w:val="18"/>
                <w:lang w:val="en-US" w:eastAsia="zh-CN" w:bidi="ar-SA"/>
              </w:rPr>
              <w:t>如何商定和</w:t>
            </w:r>
            <w:r>
              <w:rPr>
                <w:rFonts w:hint="eastAsia" w:cs="Times New Roman"/>
                <w:kern w:val="2"/>
                <w:sz w:val="18"/>
                <w:szCs w:val="18"/>
                <w:lang w:val="en-US" w:eastAsia="zh-CN" w:bidi="ar-SA"/>
              </w:rPr>
              <w:t>实施</w:t>
            </w:r>
            <w:r>
              <w:rPr>
                <w:rFonts w:hint="default" w:ascii="Times New Roman" w:hAnsi="Times New Roman" w:eastAsia="宋体" w:cs="Times New Roman"/>
                <w:kern w:val="2"/>
                <w:sz w:val="18"/>
                <w:szCs w:val="18"/>
                <w:lang w:val="en-US" w:eastAsia="zh-CN" w:bidi="ar-SA"/>
              </w:rPr>
              <w:t>这些测试</w:t>
            </w:r>
            <w:r>
              <w:rPr>
                <w:rFonts w:hint="eastAsia" w:cs="Times New Roman"/>
                <w:kern w:val="2"/>
                <w:sz w:val="18"/>
                <w:szCs w:val="18"/>
                <w:lang w:val="en-US" w:eastAsia="zh-CN" w:bidi="ar-SA"/>
              </w:rPr>
              <w:t>的</w:t>
            </w:r>
          </w:p>
        </w:tc>
      </w:tr>
    </w:tbl>
    <w:p w14:paraId="0927F1E6">
      <w:pPr>
        <w:spacing w:line="300" w:lineRule="auto"/>
        <w:jc w:val="center"/>
        <w:rPr>
          <w:rFonts w:hint="eastAsia" w:ascii="黑体" w:hAnsi="黑体" w:eastAsia="黑体"/>
          <w:szCs w:val="21"/>
        </w:rPr>
      </w:pPr>
    </w:p>
    <w:p w14:paraId="3016CCEB">
      <w:pPr>
        <w:widowControl/>
        <w:jc w:val="center"/>
        <w:rPr>
          <w:rFonts w:ascii="宋体" w:hAnsi="宋体"/>
          <w:b/>
          <w:kern w:val="0"/>
          <w:szCs w:val="21"/>
        </w:rPr>
        <w:sectPr>
          <w:headerReference r:id="rId15" w:type="default"/>
          <w:footerReference r:id="rId16" w:type="default"/>
          <w:pgSz w:w="11907" w:h="16839"/>
          <w:pgMar w:top="1418" w:right="1418" w:bottom="1418" w:left="1418" w:header="851" w:footer="851" w:gutter="0"/>
          <w:pgBorders>
            <w:top w:val="none" w:sz="0" w:space="0"/>
            <w:left w:val="none" w:sz="0" w:space="0"/>
            <w:bottom w:val="none" w:sz="0" w:space="0"/>
            <w:right w:val="none" w:sz="0" w:space="0"/>
          </w:pgBorders>
          <w:pgNumType w:start="1"/>
          <w:cols w:space="425" w:num="1"/>
          <w:docGrid w:type="lines" w:linePitch="312" w:charSpace="0"/>
        </w:sectPr>
      </w:pPr>
      <w:bookmarkStart w:id="365" w:name="_Toc434010490"/>
    </w:p>
    <w:p w14:paraId="625400EA">
      <w:pPr>
        <w:pStyle w:val="139"/>
        <w:keepNext w:val="0"/>
        <w:pageBreakBefore w:val="0"/>
        <w:numPr>
          <w:ilvl w:val="0"/>
          <w:numId w:val="19"/>
        </w:numPr>
        <w:spacing w:before="156" w:beforeLines="50" w:after="156" w:afterLines="50"/>
        <w:rPr>
          <w:rFonts w:hAnsi="黑体"/>
          <w:sz w:val="21"/>
          <w:szCs w:val="21"/>
        </w:rPr>
      </w:pPr>
      <w:bookmarkStart w:id="366" w:name="_Toc5539"/>
      <w:bookmarkStart w:id="367" w:name="_Toc496168603"/>
      <w:bookmarkStart w:id="368" w:name="_Toc6154"/>
      <w:r>
        <w:rPr>
          <w:rFonts w:hint="eastAsia" w:hAnsi="黑体"/>
          <w:sz w:val="21"/>
          <w:szCs w:val="21"/>
        </w:rPr>
        <w:t>参 考 文 献</w:t>
      </w:r>
      <w:bookmarkEnd w:id="365"/>
      <w:bookmarkEnd w:id="366"/>
      <w:bookmarkEnd w:id="367"/>
      <w:bookmarkEnd w:id="368"/>
    </w:p>
    <w:p w14:paraId="71AE1E18">
      <w:pPr>
        <w:pStyle w:val="36"/>
        <w:jc w:val="left"/>
        <w:rPr>
          <w:rFonts w:hAnsi="宋体"/>
          <w:szCs w:val="21"/>
        </w:rPr>
      </w:pPr>
      <w:r>
        <w:rPr>
          <w:rFonts w:hint="eastAsia" w:hAnsi="宋体"/>
          <w:szCs w:val="21"/>
        </w:rPr>
        <w:t>[</w:t>
      </w:r>
      <w:r>
        <w:rPr>
          <w:rFonts w:hint="eastAsia" w:hAnsi="宋体"/>
          <w:szCs w:val="21"/>
          <w:lang w:val="en-US" w:eastAsia="zh-CN"/>
        </w:rPr>
        <w:t>1</w:t>
      </w:r>
      <w:r>
        <w:rPr>
          <w:rFonts w:hint="eastAsia" w:hAnsi="宋体"/>
          <w:szCs w:val="21"/>
        </w:rPr>
        <w:t>] ISO 9000 Quality management systems — Fundamentals and vocabulary</w:t>
      </w:r>
    </w:p>
    <w:p w14:paraId="0D5A2D14">
      <w:pPr>
        <w:pStyle w:val="36"/>
        <w:jc w:val="left"/>
        <w:rPr>
          <w:rFonts w:hint="eastAsia" w:hAnsi="宋体"/>
          <w:szCs w:val="21"/>
        </w:rPr>
      </w:pPr>
      <w:r>
        <w:rPr>
          <w:rFonts w:hint="eastAsia" w:hAnsi="宋体"/>
          <w:szCs w:val="21"/>
        </w:rPr>
        <w:t>[</w:t>
      </w:r>
      <w:r>
        <w:rPr>
          <w:rFonts w:hint="eastAsia" w:hAnsi="宋体"/>
          <w:szCs w:val="21"/>
          <w:lang w:val="en-US" w:eastAsia="zh-CN"/>
        </w:rPr>
        <w:t>2</w:t>
      </w:r>
      <w:r>
        <w:rPr>
          <w:rFonts w:hint="eastAsia" w:hAnsi="宋体"/>
          <w:szCs w:val="21"/>
        </w:rPr>
        <w:t>] ISO 9001 Quality management systems — Requirements</w:t>
      </w:r>
    </w:p>
    <w:p w14:paraId="51932DD8">
      <w:pPr>
        <w:pStyle w:val="36"/>
        <w:jc w:val="left"/>
        <w:rPr>
          <w:rFonts w:hAnsi="宋体"/>
          <w:szCs w:val="21"/>
        </w:rPr>
      </w:pPr>
      <w:r>
        <w:rPr>
          <w:rFonts w:hint="eastAsia" w:hAnsi="宋体"/>
          <w:szCs w:val="21"/>
        </w:rPr>
        <w:t>[</w:t>
      </w:r>
      <w:r>
        <w:rPr>
          <w:rFonts w:hint="eastAsia" w:hAnsi="宋体"/>
          <w:szCs w:val="21"/>
          <w:lang w:val="en-US" w:eastAsia="zh-CN"/>
        </w:rPr>
        <w:t>3</w:t>
      </w:r>
      <w:r>
        <w:rPr>
          <w:rFonts w:hint="eastAsia" w:hAnsi="宋体"/>
          <w:szCs w:val="21"/>
        </w:rPr>
        <w:t xml:space="preserve">] ISO 19011 Guidelines for auditing management systems </w:t>
      </w:r>
    </w:p>
    <w:p w14:paraId="53F2049E">
      <w:pPr>
        <w:pStyle w:val="36"/>
        <w:jc w:val="left"/>
        <w:rPr>
          <w:rFonts w:hAnsi="宋体"/>
          <w:szCs w:val="21"/>
        </w:rPr>
      </w:pPr>
      <w:r>
        <w:rPr>
          <w:rFonts w:hint="eastAsia" w:hAnsi="宋体"/>
          <w:szCs w:val="21"/>
        </w:rPr>
        <w:t>[</w:t>
      </w:r>
      <w:r>
        <w:rPr>
          <w:rFonts w:hint="eastAsia" w:hAnsi="宋体"/>
          <w:szCs w:val="21"/>
          <w:lang w:val="en-US" w:eastAsia="zh-CN"/>
        </w:rPr>
        <w:t>4</w:t>
      </w:r>
      <w:r>
        <w:rPr>
          <w:rFonts w:hint="eastAsia" w:hAnsi="宋体"/>
          <w:szCs w:val="21"/>
        </w:rPr>
        <w:t>] ISO/IEC 27000 Information technology — Security techniques — Information security management systems — Overview and vocabulary</w:t>
      </w:r>
    </w:p>
    <w:p w14:paraId="1025F7DD">
      <w:pPr>
        <w:pStyle w:val="36"/>
        <w:jc w:val="left"/>
        <w:rPr>
          <w:rFonts w:hAnsi="宋体"/>
          <w:szCs w:val="21"/>
        </w:rPr>
      </w:pPr>
      <w:r>
        <w:rPr>
          <w:rFonts w:hint="eastAsia" w:hAnsi="宋体"/>
          <w:szCs w:val="21"/>
        </w:rPr>
        <w:t>[</w:t>
      </w:r>
      <w:r>
        <w:rPr>
          <w:rFonts w:hint="eastAsia" w:hAnsi="宋体"/>
          <w:szCs w:val="21"/>
          <w:lang w:val="en-US" w:eastAsia="zh-CN"/>
        </w:rPr>
        <w:t>5</w:t>
      </w:r>
      <w:r>
        <w:rPr>
          <w:rFonts w:hint="eastAsia" w:hAnsi="宋体"/>
          <w:szCs w:val="21"/>
        </w:rPr>
        <w:t>] ISO/IEC 27002 Information security, cybersecurity and privacy protection — Information security controls</w:t>
      </w:r>
    </w:p>
    <w:p w14:paraId="314AE638">
      <w:pPr>
        <w:pStyle w:val="36"/>
        <w:jc w:val="left"/>
        <w:rPr>
          <w:rFonts w:hint="eastAsia" w:hAnsi="宋体"/>
          <w:szCs w:val="21"/>
          <w:lang w:val="en-US" w:eastAsia="zh-CN"/>
        </w:rPr>
      </w:pPr>
      <w:r>
        <w:rPr>
          <w:rFonts w:hint="eastAsia" w:hAnsi="宋体"/>
          <w:szCs w:val="21"/>
        </w:rPr>
        <w:t>[</w:t>
      </w:r>
      <w:r>
        <w:rPr>
          <w:rFonts w:hint="eastAsia" w:hAnsi="宋体"/>
          <w:szCs w:val="21"/>
          <w:lang w:val="en-US" w:eastAsia="zh-CN"/>
        </w:rPr>
        <w:t>6</w:t>
      </w:r>
      <w:r>
        <w:rPr>
          <w:rFonts w:hint="eastAsia" w:hAnsi="宋体"/>
          <w:szCs w:val="21"/>
        </w:rPr>
        <w:t xml:space="preserve">] ISO/IEC </w:t>
      </w:r>
      <w:r>
        <w:rPr>
          <w:rFonts w:hint="eastAsia" w:hAnsi="宋体"/>
          <w:szCs w:val="21"/>
          <w:lang w:val="en-US" w:eastAsia="zh-CN"/>
        </w:rPr>
        <w:t xml:space="preserve">TS </w:t>
      </w:r>
      <w:r>
        <w:rPr>
          <w:rFonts w:hint="eastAsia" w:hAnsi="宋体"/>
          <w:szCs w:val="21"/>
        </w:rPr>
        <w:t>27006</w:t>
      </w:r>
      <w:r>
        <w:rPr>
          <w:rFonts w:hint="eastAsia" w:hAnsi="宋体"/>
          <w:szCs w:val="21"/>
          <w:lang w:val="en-US" w:eastAsia="zh-CN"/>
        </w:rPr>
        <w:t>-2 Requirements for bodies providing audit and certification of information security management systems — Part 2: Privacy information management systems</w:t>
      </w:r>
    </w:p>
    <w:p w14:paraId="7CFAA235">
      <w:pPr>
        <w:pStyle w:val="36"/>
        <w:jc w:val="left"/>
        <w:rPr>
          <w:rFonts w:hAnsi="宋体"/>
          <w:szCs w:val="21"/>
        </w:rPr>
      </w:pPr>
      <w:r>
        <w:rPr>
          <w:rFonts w:hint="eastAsia" w:hAnsi="宋体"/>
          <w:szCs w:val="21"/>
        </w:rPr>
        <w:t>[</w:t>
      </w:r>
      <w:r>
        <w:rPr>
          <w:rFonts w:hint="eastAsia" w:hAnsi="宋体"/>
          <w:szCs w:val="21"/>
          <w:lang w:val="en-US" w:eastAsia="zh-CN"/>
        </w:rPr>
        <w:t>7</w:t>
      </w:r>
      <w:r>
        <w:rPr>
          <w:rFonts w:hint="eastAsia" w:hAnsi="宋体"/>
          <w:szCs w:val="21"/>
        </w:rPr>
        <w:t>] ISO/IEC 27007 Information security, cybersecurity and privacy protection — Guidelines for information security management systems auditing</w:t>
      </w:r>
    </w:p>
    <w:p w14:paraId="13EBDD06">
      <w:pPr>
        <w:pStyle w:val="36"/>
        <w:jc w:val="left"/>
        <w:rPr>
          <w:rFonts w:hAnsi="宋体"/>
          <w:szCs w:val="21"/>
        </w:rPr>
      </w:pPr>
      <w:r>
        <w:rPr>
          <w:rFonts w:hint="eastAsia" w:hAnsi="宋体"/>
          <w:szCs w:val="21"/>
        </w:rPr>
        <w:t>[8]</w:t>
      </w:r>
      <w:r>
        <w:rPr>
          <w:rFonts w:hint="eastAsia" w:hAnsi="宋体"/>
          <w:szCs w:val="21"/>
          <w:lang w:val="en-US" w:eastAsia="zh-CN"/>
        </w:rPr>
        <w:t xml:space="preserve"> </w:t>
      </w:r>
      <w:r>
        <w:rPr>
          <w:rFonts w:hint="eastAsia" w:hAnsi="宋体"/>
          <w:szCs w:val="21"/>
        </w:rPr>
        <w:t>IAF MD5 Determination of Audit Time of Quality, Environmental, and Occupational Health &amp; Safety Management Systems</w:t>
      </w:r>
    </w:p>
    <w:bookmarkEnd w:id="17"/>
    <w:bookmarkEnd w:id="18"/>
    <w:bookmarkEnd w:id="19"/>
    <w:p w14:paraId="4111196A">
      <w:pPr>
        <w:pStyle w:val="36"/>
        <w:ind w:firstLine="0" w:firstLineChars="0"/>
        <w:rPr>
          <w:rFonts w:hAnsi="宋体"/>
          <w:szCs w:val="21"/>
        </w:rPr>
      </w:pPr>
    </w:p>
    <w:p w14:paraId="4619315B">
      <w:pPr>
        <w:pStyle w:val="158"/>
        <w:framePr w:wrap="around"/>
      </w:pPr>
      <w:r>
        <w:rPr>
          <w:lang w:val="de-DE"/>
        </w:rPr>
        <w:t>____</w:t>
      </w:r>
      <w:r>
        <w:t>_____________________________</w:t>
      </w:r>
    </w:p>
    <w:p w14:paraId="353BFB78"/>
    <w:p w14:paraId="46F34476"/>
    <w:sectPr>
      <w:headerReference r:id="rId17" w:type="default"/>
      <w:footerReference r:id="rId18" w:type="default"/>
      <w:footerReference r:id="rId19" w:type="even"/>
      <w:pgSz w:w="11906" w:h="16838"/>
      <w:pgMar w:top="567" w:right="1134" w:bottom="1134" w:left="1418" w:header="1418" w:footer="1134" w:gutter="0"/>
      <w:pgBorders>
        <w:top w:val="none" w:sz="0" w:space="0"/>
        <w:left w:val="none" w:sz="0" w:space="0"/>
        <w:bottom w:val="none" w:sz="0" w:space="0"/>
        <w:right w:val="none" w:sz="0" w:space="0"/>
      </w:pgBorders>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A45C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2B55F">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B5970">
    <w:pPr>
      <w:pStyle w:val="67"/>
      <w:spacing w:after="120"/>
      <w:rPr>
        <w:rStyle w:val="52"/>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23980">
                          <w:pPr>
                            <w:pStyle w:val="67"/>
                            <w:spacing w:after="120"/>
                          </w:pPr>
                          <w:r>
                            <w:rPr>
                              <w:rStyle w:val="52"/>
                            </w:rPr>
                            <w:fldChar w:fldCharType="begin"/>
                          </w:r>
                          <w:r>
                            <w:rPr>
                              <w:rStyle w:val="52"/>
                            </w:rPr>
                            <w:instrText xml:space="preserve">PAGE  </w:instrText>
                          </w:r>
                          <w:r>
                            <w:rPr>
                              <w:rStyle w:val="52"/>
                            </w:rPr>
                            <w:fldChar w:fldCharType="separate"/>
                          </w:r>
                          <w:r>
                            <w:rPr>
                              <w:rStyle w:val="52"/>
                            </w:rPr>
                            <w:t>I</w:t>
                          </w:r>
                          <w:r>
                            <w:rPr>
                              <w:rStyle w:val="5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923980">
                    <w:pPr>
                      <w:pStyle w:val="67"/>
                      <w:spacing w:after="120"/>
                    </w:pPr>
                    <w:r>
                      <w:rPr>
                        <w:rStyle w:val="52"/>
                      </w:rPr>
                      <w:fldChar w:fldCharType="begin"/>
                    </w:r>
                    <w:r>
                      <w:rPr>
                        <w:rStyle w:val="52"/>
                      </w:rPr>
                      <w:instrText xml:space="preserve">PAGE  </w:instrText>
                    </w:r>
                    <w:r>
                      <w:rPr>
                        <w:rStyle w:val="52"/>
                      </w:rPr>
                      <w:fldChar w:fldCharType="separate"/>
                    </w:r>
                    <w:r>
                      <w:rPr>
                        <w:rStyle w:val="52"/>
                      </w:rPr>
                      <w:t>I</w:t>
                    </w:r>
                    <w:r>
                      <w:rPr>
                        <w:rStyle w:val="5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60602">
    <w:pPr>
      <w:pStyle w:val="30"/>
      <w:spacing w:before="120" w:after="12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FA084">
                          <w:pPr>
                            <w:pStyle w:val="30"/>
                            <w:spacing w:before="120" w:after="120"/>
                          </w:pPr>
                          <w:r>
                            <w:fldChar w:fldCharType="begin"/>
                          </w:r>
                          <w:r>
                            <w:instrText xml:space="preserve">PAGE   \* MERGEFORMAT</w:instrText>
                          </w:r>
                          <w:r>
                            <w:fldChar w:fldCharType="separate"/>
                          </w:r>
                          <w:r>
                            <w:rPr>
                              <w:lang w:val="zh-CN"/>
                            </w:rPr>
                            <w:t>II</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5FA084">
                    <w:pPr>
                      <w:pStyle w:val="30"/>
                      <w:spacing w:before="120" w:after="120"/>
                    </w:pPr>
                    <w:r>
                      <w:fldChar w:fldCharType="begin"/>
                    </w:r>
                    <w:r>
                      <w:instrText xml:space="preserve">PAGE   \* MERGEFORMAT</w:instrText>
                    </w:r>
                    <w:r>
                      <w:fldChar w:fldCharType="separate"/>
                    </w:r>
                    <w:r>
                      <w:rPr>
                        <w:lang w:val="zh-CN"/>
                      </w:rPr>
                      <w:t>II</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7CD77">
    <w:pPr>
      <w:pStyle w:val="67"/>
      <w:spacing w:after="120"/>
      <w:rPr>
        <w:rStyle w:val="52"/>
      </w:rPr>
    </w:pPr>
    <w:r>
      <w:rPr>
        <w:rStyle w:val="52"/>
      </w:rPr>
      <w:fldChar w:fldCharType="begin"/>
    </w:r>
    <w:r>
      <w:rPr>
        <w:rStyle w:val="52"/>
      </w:rPr>
      <w:instrText xml:space="preserve">PAGE  </w:instrText>
    </w:r>
    <w:r>
      <w:rPr>
        <w:rStyle w:val="52"/>
      </w:rPr>
      <w:fldChar w:fldCharType="separate"/>
    </w:r>
    <w:r>
      <w:rPr>
        <w:rStyle w:val="52"/>
      </w:rPr>
      <w:t>I</w:t>
    </w:r>
    <w:r>
      <w:rPr>
        <w:rStyle w:val="5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A75F">
    <w:pPr>
      <w:pStyle w:val="30"/>
      <w:spacing w:before="120" w:after="120"/>
    </w:pPr>
    <w:r>
      <w:fldChar w:fldCharType="begin"/>
    </w:r>
    <w:r>
      <w:instrText xml:space="preserve">PAGE   \* MERGEFORMAT</w:instrText>
    </w:r>
    <w:r>
      <w:fldChar w:fldCharType="separate"/>
    </w:r>
    <w:r>
      <w:rPr>
        <w:lang w:val="zh-CN"/>
      </w:rPr>
      <w:t>58</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23FE">
    <w:pPr>
      <w:pStyle w:val="30"/>
      <w:spacing w:before="120" w:after="120"/>
      <w:rPr>
        <w:rStyle w:val="52"/>
      </w:rPr>
    </w:pPr>
    <w:r>
      <w:fldChar w:fldCharType="begin"/>
    </w:r>
    <w:r>
      <w:instrText xml:space="preserve">PAGE   \* MERGEFORMAT</w:instrText>
    </w:r>
    <w:r>
      <w:fldChar w:fldCharType="separate"/>
    </w:r>
    <w:r>
      <w:rPr>
        <w:lang w:val="zh-CN"/>
      </w:rPr>
      <w:t>59</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35708">
    <w:pPr>
      <w:pStyle w:val="67"/>
    </w:pPr>
    <w:r>
      <w:fldChar w:fldCharType="begin"/>
    </w:r>
    <w:r>
      <w:instrText xml:space="preserve"> PAGE  \* MERGEFORMAT </w:instrText>
    </w:r>
    <w:r>
      <w:fldChar w:fldCharType="separate"/>
    </w:r>
    <w:r>
      <w:t>43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8419">
    <w:pPr>
      <w:pStyle w:val="30"/>
    </w:pPr>
    <w:r>
      <w:rPr>
        <w:rStyle w:val="52"/>
      </w:rPr>
      <w:fldChar w:fldCharType="begin"/>
    </w:r>
    <w:r>
      <w:rPr>
        <w:rStyle w:val="52"/>
      </w:rPr>
      <w:instrText xml:space="preserve"> PAGE </w:instrText>
    </w:r>
    <w:r>
      <w:rPr>
        <w:rStyle w:val="52"/>
      </w:rPr>
      <w:fldChar w:fldCharType="separate"/>
    </w:r>
    <w:r>
      <w:rPr>
        <w:rStyle w:val="52"/>
      </w:rPr>
      <w:t>60</w:t>
    </w:r>
    <w:r>
      <w:rPr>
        <w:rStyle w:val="5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14:paraId="6A220E2A">
      <w:pPr>
        <w:pStyle w:val="37"/>
        <w:numPr>
          <w:ilvl w:val="-1"/>
          <w:numId w:val="0"/>
        </w:numPr>
        <w:snapToGrid w:val="0"/>
        <w:ind w:left="363" w:firstLine="0"/>
      </w:pPr>
      <w:r>
        <w:rPr>
          <w:rStyle w:val="62"/>
        </w:rPr>
        <w:footnoteRef/>
      </w:r>
      <w:r>
        <w:t xml:space="preserve"> </w:t>
      </w:r>
      <w:r>
        <w:rPr>
          <w:rFonts w:hint="eastAsia"/>
        </w:rPr>
        <w:t xml:space="preserve"> ISO/IEC </w:t>
      </w:r>
      <w:r>
        <w:rPr>
          <w:rFonts w:hint="eastAsia"/>
          <w:lang w:val="en-US" w:eastAsia="zh-CN"/>
        </w:rPr>
        <w:t xml:space="preserve">TS </w:t>
      </w:r>
      <w:r>
        <w:rPr>
          <w:rFonts w:hint="eastAsia"/>
        </w:rPr>
        <w:t>27006-2将被ISO/IEC 27706取代。</w:t>
      </w:r>
    </w:p>
  </w:footnote>
  <w:footnote w:id="1">
    <w:p w14:paraId="0E81D571">
      <w:pPr>
        <w:pStyle w:val="37"/>
        <w:numPr>
          <w:ilvl w:val="0"/>
          <w:numId w:val="0"/>
        </w:numPr>
        <w:tabs>
          <w:tab w:val="clear" w:pos="0"/>
        </w:tabs>
        <w:snapToGrid w:val="0"/>
        <w:ind w:left="720" w:hanging="357"/>
      </w:pPr>
      <w:r>
        <w:rPr>
          <w:rStyle w:val="62"/>
        </w:rPr>
        <w:footnoteRef/>
      </w:r>
      <w:r>
        <w:t xml:space="preserve"> </w:t>
      </w:r>
      <w:r>
        <w:rPr>
          <w:rFonts w:hint="eastAsia"/>
          <w:lang w:val="en-US" w:eastAsia="zh-CN"/>
        </w:rPr>
        <w:t>本列中的编号与</w:t>
      </w:r>
      <w:r>
        <w:rPr>
          <w:rFonts w:hint="eastAsia"/>
        </w:rPr>
        <w:t>GB/T 22080—202X附</w:t>
      </w:r>
      <w:r>
        <w:rPr>
          <w:rFonts w:hint="eastAsia"/>
          <w:lang w:val="en-US" w:eastAsia="zh-CN"/>
        </w:rPr>
        <w:t>录</w:t>
      </w:r>
      <w:r>
        <w:rPr>
          <w:rFonts w:hint="eastAsia"/>
        </w:rPr>
        <w:t>A中</w:t>
      </w:r>
      <w:r>
        <w:rPr>
          <w:rFonts w:hint="eastAsia"/>
          <w:lang w:val="en-US" w:eastAsia="zh-CN"/>
        </w:rPr>
        <w:t>控制的编号相一致。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28BCD">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5B44">
    <w:pPr>
      <w:pStyle w:val="31"/>
      <w:spacing w:after="220"/>
      <w:rPr>
        <w:rFonts w:hint="eastAsia" w:ascii="黑体" w:hAnsi="黑体" w:eastAsia="黑体" w:cs="黑体"/>
        <w:sz w:val="21"/>
        <w:szCs w:val="21"/>
      </w:rPr>
    </w:pPr>
    <w:r>
      <w:rPr>
        <w:rFonts w:hint="eastAsia" w:ascii="黑体" w:hAnsi="黑体" w:eastAsia="黑体" w:cs="黑体"/>
        <w:sz w:val="21"/>
        <w:szCs w:val="21"/>
      </w:rPr>
      <w:t>GB/T 25067－202X/ISO/IEC 27006-1:2024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0AB9">
    <w:pPr>
      <w:pStyle w:val="68"/>
      <w:spacing w:before="120" w:after="120"/>
    </w:pPr>
    <w:r>
      <w:rPr>
        <w:rFonts w:hint="eastAsia" w:hAnsi="黑体" w:cs="黑体"/>
      </w:rPr>
      <w:t>GB/T 25067</w:t>
    </w:r>
    <w:r>
      <w:rPr>
        <w:rFonts w:hint="eastAsia" w:ascii="黑体" w:hAnsi="黑体" w:eastAsia="黑体" w:cs="黑体"/>
      </w:rPr>
      <w:t>－</w:t>
    </w:r>
    <w:r>
      <w:rPr>
        <w:rFonts w:hint="eastAsia" w:hAnsi="黑体" w:cs="黑体"/>
      </w:rPr>
      <w:t>202X/ISO/IEC 27006-1:2024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2232">
    <w:pPr>
      <w:pStyle w:val="68"/>
      <w:spacing w:before="120" w:after="120"/>
      <w:jc w:val="left"/>
      <w:rPr>
        <w:rFonts w:hint="eastAsia" w:hAnsi="黑体" w:cs="黑体"/>
      </w:rPr>
    </w:pPr>
    <w:r>
      <w:rPr>
        <w:rFonts w:hint="eastAsia" w:hAnsi="黑体" w:cs="黑体"/>
      </w:rPr>
      <w:t>GB/T 25067</w:t>
    </w:r>
    <w:r>
      <w:rPr>
        <w:rFonts w:hint="eastAsia" w:ascii="黑体" w:hAnsi="黑体" w:eastAsia="黑体" w:cs="黑体"/>
      </w:rPr>
      <w:t>－</w:t>
    </w:r>
    <w:r>
      <w:rPr>
        <w:rFonts w:hint="eastAsia" w:hAnsi="黑体" w:cs="黑体"/>
      </w:rPr>
      <w:t>20</w:t>
    </w:r>
    <w:r>
      <w:rPr>
        <w:rFonts w:hint="eastAsia" w:hAnsi="黑体" w:cs="黑体"/>
        <w:lang w:val="en-US" w:eastAsia="zh-CN"/>
      </w:rPr>
      <w:t>2</w:t>
    </w:r>
    <w:r>
      <w:rPr>
        <w:rFonts w:hint="eastAsia" w:hAnsi="黑体" w:cs="黑体"/>
      </w:rPr>
      <w:t>X/ISO/IEC 27006</w:t>
    </w:r>
    <w:r>
      <w:rPr>
        <w:rFonts w:hint="eastAsia" w:hAnsi="黑体" w:cs="黑体"/>
        <w:lang w:val="en-US" w:eastAsia="zh-CN"/>
      </w:rPr>
      <w:t>-1:</w:t>
    </w:r>
    <w:r>
      <w:rPr>
        <w:rFonts w:hint="eastAsia" w:hAnsi="黑体" w:cs="黑体"/>
      </w:rPr>
      <w:t>20</w:t>
    </w:r>
    <w:r>
      <w:rPr>
        <w:rFonts w:hint="eastAsia" w:hAnsi="黑体" w:cs="黑体"/>
        <w:lang w:val="en-US" w:eastAsia="zh-CN"/>
      </w:rPr>
      <w:t>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1436">
    <w:pPr>
      <w:jc w:val="right"/>
      <w:rPr>
        <w:rFonts w:hint="eastAsia" w:ascii="黑体" w:hAnsi="黑体" w:eastAsia="黑体" w:cs="黑体"/>
      </w:rPr>
    </w:pPr>
    <w:r>
      <w:rPr>
        <w:rFonts w:hint="eastAsia" w:ascii="黑体" w:hAnsi="黑体" w:eastAsia="黑体" w:cs="黑体"/>
      </w:rPr>
      <w:t>GB/T 25067－20</w:t>
    </w:r>
    <w:r>
      <w:rPr>
        <w:rFonts w:hint="eastAsia" w:ascii="黑体" w:hAnsi="黑体" w:eastAsia="黑体" w:cs="黑体"/>
        <w:lang w:val="en-US" w:eastAsia="zh-CN"/>
      </w:rPr>
      <w:t>2</w:t>
    </w:r>
    <w:r>
      <w:rPr>
        <w:rFonts w:hint="eastAsia" w:ascii="黑体" w:hAnsi="黑体" w:eastAsia="黑体" w:cs="黑体"/>
      </w:rPr>
      <w:t>X/ISO/IEC 27006</w:t>
    </w:r>
    <w:r>
      <w:rPr>
        <w:rFonts w:hint="eastAsia" w:ascii="黑体" w:hAnsi="黑体" w:eastAsia="黑体" w:cs="黑体"/>
        <w:lang w:val="en-US" w:eastAsia="zh-CN"/>
      </w:rPr>
      <w:t>-1</w:t>
    </w:r>
    <w:r>
      <w:rPr>
        <w:rFonts w:hint="eastAsia" w:ascii="黑体" w:hAnsi="黑体" w:eastAsia="黑体" w:cs="黑体"/>
      </w:rPr>
      <w:t>:20</w:t>
    </w:r>
    <w:r>
      <w:rPr>
        <w:rFonts w:hint="eastAsia" w:ascii="黑体" w:hAnsi="黑体" w:eastAsia="黑体" w:cs="黑体"/>
        <w:lang w:val="en-US" w:eastAsia="zh-CN"/>
      </w:rPr>
      <w:t>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2E77">
    <w:pPr>
      <w:pStyle w:val="68"/>
    </w:pPr>
    <w:r>
      <w:t>GB/T 25067—201</w:t>
    </w:r>
    <w:r>
      <w:rPr>
        <w:rFonts w:hint="eastAsia"/>
      </w:rPr>
      <w:t>X</w:t>
    </w:r>
    <w:r>
      <w:t>/ISO/IEC 27006:2015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8A1C0"/>
    <w:multiLevelType w:val="multilevel"/>
    <w:tmpl w:val="8B18A1C0"/>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B4012ED"/>
    <w:multiLevelType w:val="singleLevel"/>
    <w:tmpl w:val="BB4012ED"/>
    <w:lvl w:ilvl="0" w:tentative="0">
      <w:start w:val="1"/>
      <w:numFmt w:val="decimal"/>
      <w:lvlText w:val="3.%1"/>
      <w:lvlJc w:val="left"/>
      <w:pPr>
        <w:tabs>
          <w:tab w:val="left" w:pos="420"/>
        </w:tabs>
        <w:ind w:left="425" w:hanging="425"/>
      </w:pPr>
      <w:rPr>
        <w:rFonts w:hint="default" w:ascii="黑体" w:hAnsi="黑体" w:eastAsia="黑体" w:cs="黑体"/>
        <w:sz w:val="21"/>
        <w:szCs w:val="21"/>
      </w:rPr>
    </w:lvl>
  </w:abstractNum>
  <w:abstractNum w:abstractNumId="2">
    <w:nsid w:val="D1D5F83F"/>
    <w:multiLevelType w:val="multilevel"/>
    <w:tmpl w:val="D1D5F83F"/>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64D6BFA"/>
    <w:multiLevelType w:val="multilevel"/>
    <w:tmpl w:val="064D6BFA"/>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9102AD"/>
    <w:multiLevelType w:val="multilevel"/>
    <w:tmpl w:val="079102AD"/>
    <w:lvl w:ilvl="0" w:tentative="0">
      <w:start w:val="1"/>
      <w:numFmt w:val="decimal"/>
      <w:pStyle w:val="84"/>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5">
    <w:nsid w:val="08166406"/>
    <w:multiLevelType w:val="multilevel"/>
    <w:tmpl w:val="08166406"/>
    <w:lvl w:ilvl="0" w:tentative="0">
      <w:start w:val="1"/>
      <w:numFmt w:val="lowerLetter"/>
      <w:lvlText w:val="%1）"/>
      <w:lvlJc w:val="left"/>
      <w:pPr>
        <w:ind w:left="559" w:hanging="360"/>
      </w:pPr>
      <w:rPr>
        <w:rFonts w:hint="default"/>
      </w:r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abstractNum w:abstractNumId="6">
    <w:nsid w:val="093C6778"/>
    <w:multiLevelType w:val="multilevel"/>
    <w:tmpl w:val="093C6778"/>
    <w:lvl w:ilvl="0" w:tentative="0">
      <w:start w:val="1"/>
      <w:numFmt w:val="decimal"/>
      <w:pStyle w:val="143"/>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7">
    <w:nsid w:val="0AE367E9"/>
    <w:multiLevelType w:val="multilevel"/>
    <w:tmpl w:val="0AE367E9"/>
    <w:lvl w:ilvl="0" w:tentative="0">
      <w:start w:val="1"/>
      <w:numFmt w:val="none"/>
      <w:pStyle w:val="76"/>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8">
    <w:nsid w:val="0DAA5FEB"/>
    <w:multiLevelType w:val="multilevel"/>
    <w:tmpl w:val="0DAA5FEB"/>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DE2B46"/>
    <w:multiLevelType w:val="multilevel"/>
    <w:tmpl w:val="0DDE2B46"/>
    <w:lvl w:ilvl="0" w:tentative="0">
      <w:start w:val="1"/>
      <w:numFmt w:val="lowerLetter"/>
      <w:pStyle w:val="148"/>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0">
    <w:nsid w:val="0FF54F85"/>
    <w:multiLevelType w:val="multilevel"/>
    <w:tmpl w:val="0FF54F85"/>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179D8FA"/>
    <w:multiLevelType w:val="singleLevel"/>
    <w:tmpl w:val="1179D8FA"/>
    <w:lvl w:ilvl="0" w:tentative="0">
      <w:start w:val="1"/>
      <w:numFmt w:val="lowerLetter"/>
      <w:suff w:val="nothing"/>
      <w:lvlText w:val="%1）"/>
      <w:lvlJc w:val="left"/>
    </w:lvl>
  </w:abstractNum>
  <w:abstractNum w:abstractNumId="12">
    <w:nsid w:val="17F94F3F"/>
    <w:multiLevelType w:val="multilevel"/>
    <w:tmpl w:val="17F94F3F"/>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3">
    <w:nsid w:val="19335C53"/>
    <w:multiLevelType w:val="multilevel"/>
    <w:tmpl w:val="19335C53"/>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CA04E7"/>
    <w:multiLevelType w:val="multilevel"/>
    <w:tmpl w:val="19CA04E7"/>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ADB6AA3"/>
    <w:multiLevelType w:val="multilevel"/>
    <w:tmpl w:val="1ADB6AA3"/>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A10A89"/>
    <w:multiLevelType w:val="multilevel"/>
    <w:tmpl w:val="1CA10A89"/>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DBF583A"/>
    <w:multiLevelType w:val="multilevel"/>
    <w:tmpl w:val="1DBF583A"/>
    <w:lvl w:ilvl="0" w:tentative="0">
      <w:start w:val="1"/>
      <w:numFmt w:val="decimal"/>
      <w:pStyle w:val="91"/>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8">
    <w:nsid w:val="1FC91163"/>
    <w:multiLevelType w:val="multilevel"/>
    <w:tmpl w:val="1FC91163"/>
    <w:lvl w:ilvl="0" w:tentative="0">
      <w:start w:val="1"/>
      <w:numFmt w:val="decimal"/>
      <w:pStyle w:val="69"/>
      <w:suff w:val="nothing"/>
      <w:lvlText w:val="%1　"/>
      <w:lvlJc w:val="left"/>
      <w:rPr>
        <w:rFonts w:hint="eastAsia" w:ascii="黑体" w:hAnsi="Times New Roman" w:eastAsia="黑体" w:cs="Times New Roman"/>
        <w:b w:val="0"/>
        <w:i w:val="0"/>
        <w:sz w:val="21"/>
        <w:szCs w:val="21"/>
      </w:rPr>
    </w:lvl>
    <w:lvl w:ilvl="1" w:tentative="0">
      <w:start w:val="1"/>
      <w:numFmt w:val="decimal"/>
      <w:pStyle w:val="66"/>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0"/>
      <w:suff w:val="nothing"/>
      <w:lvlText w:val="%1.%2.%3　"/>
      <w:lvlJc w:val="left"/>
      <w:rPr>
        <w:rFonts w:hint="eastAsia" w:ascii="黑体" w:hAnsi="Times New Roman" w:eastAsia="黑体" w:cs="Times New Roman"/>
        <w:b w:val="0"/>
        <w:i w:val="0"/>
        <w:sz w:val="21"/>
      </w:rPr>
    </w:lvl>
    <w:lvl w:ilvl="3" w:tentative="0">
      <w:start w:val="1"/>
      <w:numFmt w:val="decimal"/>
      <w:pStyle w:val="75"/>
      <w:suff w:val="nothing"/>
      <w:lvlText w:val="%1.%2.%3.%4　"/>
      <w:lvlJc w:val="left"/>
      <w:rPr>
        <w:rFonts w:hint="eastAsia" w:ascii="黑体" w:hAnsi="Times New Roman" w:eastAsia="黑体" w:cs="Times New Roman"/>
        <w:b w:val="0"/>
        <w:i w:val="0"/>
        <w:sz w:val="21"/>
      </w:rPr>
    </w:lvl>
    <w:lvl w:ilvl="4" w:tentative="0">
      <w:start w:val="1"/>
      <w:numFmt w:val="decimal"/>
      <w:pStyle w:val="79"/>
      <w:suff w:val="nothing"/>
      <w:lvlText w:val="%1.%2.%3.%4.%5　"/>
      <w:lvlJc w:val="left"/>
      <w:rPr>
        <w:rFonts w:hint="eastAsia" w:ascii="黑体" w:hAnsi="Times New Roman" w:eastAsia="黑体" w:cs="Times New Roman"/>
        <w:b w:val="0"/>
        <w:i w:val="0"/>
        <w:sz w:val="21"/>
      </w:rPr>
    </w:lvl>
    <w:lvl w:ilvl="5" w:tentative="0">
      <w:start w:val="1"/>
      <w:numFmt w:val="decimal"/>
      <w:pStyle w:val="80"/>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9">
    <w:nsid w:val="23AB01A2"/>
    <w:multiLevelType w:val="multilevel"/>
    <w:tmpl w:val="23AB01A2"/>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27A04D6B"/>
    <w:multiLevelType w:val="multilevel"/>
    <w:tmpl w:val="27A04D6B"/>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8FB5B19"/>
    <w:multiLevelType w:val="multilevel"/>
    <w:tmpl w:val="28FB5B19"/>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8F7113"/>
    <w:multiLevelType w:val="multilevel"/>
    <w:tmpl w:val="2A8F7113"/>
    <w:lvl w:ilvl="0" w:tentative="0">
      <w:start w:val="1"/>
      <w:numFmt w:val="upperLetter"/>
      <w:pStyle w:val="124"/>
      <w:suff w:val="space"/>
      <w:lvlText w:val="%1"/>
      <w:lvlJc w:val="left"/>
      <w:pPr>
        <w:ind w:left="623" w:hanging="425"/>
      </w:pPr>
      <w:rPr>
        <w:rFonts w:hint="eastAsia" w:cs="Times New Roman"/>
      </w:rPr>
    </w:lvl>
    <w:lvl w:ilvl="1" w:tentative="0">
      <w:start w:val="1"/>
      <w:numFmt w:val="decimal"/>
      <w:pStyle w:val="125"/>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23">
    <w:nsid w:val="2BF64A4F"/>
    <w:multiLevelType w:val="multilevel"/>
    <w:tmpl w:val="2BF64A4F"/>
    <w:lvl w:ilvl="0" w:tentative="0">
      <w:start w:val="1"/>
      <w:numFmt w:val="lowerLetter"/>
      <w:lvlText w:val="%1）"/>
      <w:lvlJc w:val="left"/>
      <w:pPr>
        <w:ind w:left="559" w:hanging="360"/>
      </w:pPr>
      <w:rPr>
        <w:rFonts w:hint="default"/>
      </w:r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abstractNum w:abstractNumId="24">
    <w:nsid w:val="2C5917C3"/>
    <w:multiLevelType w:val="multilevel"/>
    <w:tmpl w:val="2C5917C3"/>
    <w:lvl w:ilvl="0" w:tentative="0">
      <w:start w:val="1"/>
      <w:numFmt w:val="none"/>
      <w:pStyle w:val="72"/>
      <w:suff w:val="nothing"/>
      <w:lvlText w:val="%1——"/>
      <w:lvlJc w:val="left"/>
      <w:pPr>
        <w:ind w:left="833" w:hanging="408"/>
      </w:pPr>
      <w:rPr>
        <w:rFonts w:hint="eastAsia" w:cs="Times New Roman"/>
      </w:rPr>
    </w:lvl>
    <w:lvl w:ilvl="1" w:tentative="0">
      <w:start w:val="1"/>
      <w:numFmt w:val="bullet"/>
      <w:pStyle w:val="73"/>
      <w:lvlText w:val=""/>
      <w:lvlJc w:val="left"/>
      <w:pPr>
        <w:tabs>
          <w:tab w:val="left" w:pos="760"/>
        </w:tabs>
        <w:ind w:left="1264" w:hanging="413"/>
      </w:pPr>
      <w:rPr>
        <w:rFonts w:hint="default" w:ascii="Symbol" w:hAnsi="Symbol"/>
        <w:color w:val="auto"/>
      </w:rPr>
    </w:lvl>
    <w:lvl w:ilvl="2" w:tentative="0">
      <w:start w:val="1"/>
      <w:numFmt w:val="bullet"/>
      <w:pStyle w:val="8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25">
    <w:nsid w:val="385E3C8D"/>
    <w:multiLevelType w:val="multilevel"/>
    <w:tmpl w:val="385E3C8D"/>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D733618"/>
    <w:multiLevelType w:val="multilevel"/>
    <w:tmpl w:val="3D733618"/>
    <w:lvl w:ilvl="0" w:tentative="0">
      <w:start w:val="1"/>
      <w:numFmt w:val="decimal"/>
      <w:pStyle w:val="3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27">
    <w:nsid w:val="3EBF5EDB"/>
    <w:multiLevelType w:val="multilevel"/>
    <w:tmpl w:val="3EBF5EDB"/>
    <w:lvl w:ilvl="0" w:tentative="0">
      <w:start w:val="1"/>
      <w:numFmt w:val="decimal"/>
      <w:pStyle w:val="2"/>
      <w:suff w:val="space"/>
      <w:lvlText w:val="%1 "/>
      <w:lvlJc w:val="left"/>
      <w:rPr>
        <w:rFonts w:hint="default" w:ascii="Verdana" w:hAnsi="Verdana"/>
        <w:sz w:val="24"/>
      </w:rPr>
    </w:lvl>
    <w:lvl w:ilvl="1" w:tentative="0">
      <w:start w:val="1"/>
      <w:numFmt w:val="decimal"/>
      <w:suff w:val="space"/>
      <w:lvlText w:val="%1.%2 "/>
      <w:lvlJc w:val="left"/>
      <w:rPr>
        <w:rFonts w:hint="default" w:ascii="Verdana" w:hAnsi="Verdana"/>
        <w:sz w:val="24"/>
      </w:rPr>
    </w:lvl>
    <w:lvl w:ilvl="2" w:tentative="0">
      <w:start w:val="1"/>
      <w:numFmt w:val="decimal"/>
      <w:suff w:val="space"/>
      <w:lvlText w:val="%1.%2.%3 "/>
      <w:lvlJc w:val="left"/>
      <w:rPr>
        <w:rFonts w:hint="default" w:ascii="Verdana" w:hAnsi="Verdana"/>
        <w:sz w:val="24"/>
      </w:rPr>
    </w:lvl>
    <w:lvl w:ilvl="3" w:tentative="0">
      <w:start w:val="1"/>
      <w:numFmt w:val="decimal"/>
      <w:suff w:val="space"/>
      <w:lvlText w:val="%1.%2.%3.%4 "/>
      <w:lvlJc w:val="left"/>
      <w:rPr>
        <w:rFonts w:hint="default" w:ascii="Verdana" w:hAnsi="Verdana"/>
        <w:sz w:val="24"/>
      </w:rPr>
    </w:lvl>
    <w:lvl w:ilvl="4" w:tentative="0">
      <w:start w:val="1"/>
      <w:numFmt w:val="decimal"/>
      <w:suff w:val="space"/>
      <w:lvlText w:val="%1.%2.%3.%4.%5 "/>
      <w:lvlJc w:val="left"/>
      <w:rPr>
        <w:rFonts w:hint="default" w:ascii="Verdana" w:hAnsi="Verdana"/>
        <w:sz w:val="24"/>
      </w:rPr>
    </w:lvl>
    <w:lvl w:ilvl="5" w:tentative="0">
      <w:start w:val="1"/>
      <w:numFmt w:val="decimal"/>
      <w:suff w:val="space"/>
      <w:lvlText w:val="%1.%2.%3.%4.%5.%6"/>
      <w:lvlJc w:val="left"/>
      <w:rPr>
        <w:rFonts w:hint="eastAsia"/>
      </w:rPr>
    </w:lvl>
    <w:lvl w:ilvl="6" w:tentative="0">
      <w:start w:val="1"/>
      <w:numFmt w:val="decimal"/>
      <w:suff w:val="space"/>
      <w:lvlText w:val="%1.%2.%3.%4.%5.%6.%7"/>
      <w:lvlJc w:val="left"/>
      <w:rPr>
        <w:rFonts w:hint="eastAsia"/>
      </w:rPr>
    </w:lvl>
    <w:lvl w:ilvl="7" w:tentative="0">
      <w:start w:val="1"/>
      <w:numFmt w:val="decimal"/>
      <w:suff w:val="space"/>
      <w:lvlText w:val="%1.%2.%3.%4.%5.%6.%7.%8"/>
      <w:lvlJc w:val="left"/>
      <w:rPr>
        <w:rFonts w:hint="eastAsia"/>
      </w:rPr>
    </w:lvl>
    <w:lvl w:ilvl="8" w:tentative="0">
      <w:start w:val="1"/>
      <w:numFmt w:val="decimal"/>
      <w:suff w:val="space"/>
      <w:lvlText w:val="%1.%2.%3.%4.%5.%6.%7.%8.%9"/>
      <w:lvlJc w:val="left"/>
      <w:rPr>
        <w:rFonts w:hint="eastAsia"/>
      </w:rPr>
    </w:lvl>
  </w:abstractNum>
  <w:abstractNum w:abstractNumId="28">
    <w:nsid w:val="40B81453"/>
    <w:multiLevelType w:val="multilevel"/>
    <w:tmpl w:val="40B81453"/>
    <w:lvl w:ilvl="0" w:tentative="0">
      <w:start w:val="1"/>
      <w:numFmt w:val="lowerLetter"/>
      <w:lvlText w:val="%1）"/>
      <w:lvlJc w:val="left"/>
      <w:pPr>
        <w:ind w:left="559"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22F597E"/>
    <w:multiLevelType w:val="multilevel"/>
    <w:tmpl w:val="422F597E"/>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4C50F90"/>
    <w:multiLevelType w:val="multilevel"/>
    <w:tmpl w:val="44C50F90"/>
    <w:lvl w:ilvl="0" w:tentative="0">
      <w:start w:val="1"/>
      <w:numFmt w:val="lowerLetter"/>
      <w:pStyle w:val="85"/>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78"/>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87"/>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31">
    <w:nsid w:val="4B733A5F"/>
    <w:multiLevelType w:val="multilevel"/>
    <w:tmpl w:val="4B733A5F"/>
    <w:lvl w:ilvl="0" w:tentative="0">
      <w:start w:val="1"/>
      <w:numFmt w:val="decimal"/>
      <w:pStyle w:val="88"/>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32">
    <w:nsid w:val="4F565BB7"/>
    <w:multiLevelType w:val="multilevel"/>
    <w:tmpl w:val="4F565BB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2332426"/>
    <w:multiLevelType w:val="multilevel"/>
    <w:tmpl w:val="52332426"/>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557C2AF5"/>
    <w:multiLevelType w:val="multilevel"/>
    <w:tmpl w:val="557C2AF5"/>
    <w:lvl w:ilvl="0" w:tentative="0">
      <w:start w:val="1"/>
      <w:numFmt w:val="decimal"/>
      <w:pStyle w:val="157"/>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5">
    <w:nsid w:val="56860DB7"/>
    <w:multiLevelType w:val="multilevel"/>
    <w:tmpl w:val="56860DB7"/>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571C05CE"/>
    <w:multiLevelType w:val="multilevel"/>
    <w:tmpl w:val="571C05CE"/>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8394371"/>
    <w:multiLevelType w:val="multilevel"/>
    <w:tmpl w:val="58394371"/>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5A4C5461"/>
    <w:multiLevelType w:val="multilevel"/>
    <w:tmpl w:val="5A4C5461"/>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5F162336"/>
    <w:multiLevelType w:val="multilevel"/>
    <w:tmpl w:val="5F162336"/>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60B55DC2"/>
    <w:multiLevelType w:val="multilevel"/>
    <w:tmpl w:val="60B55DC2"/>
    <w:lvl w:ilvl="0" w:tentative="0">
      <w:start w:val="1"/>
      <w:numFmt w:val="upperLetter"/>
      <w:pStyle w:val="112"/>
      <w:lvlText w:val="%1"/>
      <w:lvlJc w:val="left"/>
      <w:pPr>
        <w:tabs>
          <w:tab w:val="left" w:pos="0"/>
        </w:tabs>
        <w:ind w:hanging="425"/>
      </w:pPr>
      <w:rPr>
        <w:rFonts w:hint="eastAsia" w:cs="Times New Roman"/>
      </w:rPr>
    </w:lvl>
    <w:lvl w:ilvl="1" w:tentative="0">
      <w:start w:val="1"/>
      <w:numFmt w:val="decimal"/>
      <w:pStyle w:val="113"/>
      <w:suff w:val="nothing"/>
      <w:lvlText w:val="表%1.%2　"/>
      <w:lvlJc w:val="left"/>
      <w:pPr>
        <w:ind w:left="47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41">
    <w:nsid w:val="646260FA"/>
    <w:multiLevelType w:val="multilevel"/>
    <w:tmpl w:val="646260FA"/>
    <w:lvl w:ilvl="0" w:tentative="0">
      <w:start w:val="1"/>
      <w:numFmt w:val="decimal"/>
      <w:pStyle w:val="155"/>
      <w:suff w:val="nothing"/>
      <w:lvlText w:val="表%1　"/>
      <w:lvlJc w:val="left"/>
      <w:pPr>
        <w:ind w:left="0" w:firstLine="0"/>
      </w:pPr>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2">
    <w:nsid w:val="657D3FBC"/>
    <w:multiLevelType w:val="multilevel"/>
    <w:tmpl w:val="657D3FBC"/>
    <w:lvl w:ilvl="0" w:tentative="0">
      <w:start w:val="1"/>
      <w:numFmt w:val="upperLetter"/>
      <w:pStyle w:val="110"/>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8"/>
      <w:suff w:val="nothing"/>
      <w:lvlText w:val="%1.%2　"/>
      <w:lvlJc w:val="left"/>
      <w:pPr>
        <w:ind w:left="840"/>
      </w:pPr>
      <w:rPr>
        <w:rFonts w:hint="eastAsia" w:ascii="黑体" w:hAnsi="Times New Roman" w:eastAsia="黑体" w:cs="Times New Roman"/>
        <w:b w:val="0"/>
        <w:i w:val="0"/>
        <w:snapToGrid/>
        <w:spacing w:val="0"/>
        <w:w w:val="100"/>
        <w:kern w:val="21"/>
        <w:sz w:val="21"/>
      </w:rPr>
    </w:lvl>
    <w:lvl w:ilvl="2" w:tentative="0">
      <w:start w:val="1"/>
      <w:numFmt w:val="decimal"/>
      <w:pStyle w:val="129"/>
      <w:suff w:val="nothing"/>
      <w:lvlText w:val="%1.%2.%3　"/>
      <w:lvlJc w:val="left"/>
      <w:pPr>
        <w:ind w:left="210"/>
      </w:pPr>
      <w:rPr>
        <w:rFonts w:hint="eastAsia" w:ascii="黑体" w:hAnsi="Times New Roman" w:eastAsia="黑体" w:cs="Times New Roman"/>
        <w:b w:val="0"/>
        <w:i w:val="0"/>
        <w:sz w:val="21"/>
      </w:rPr>
    </w:lvl>
    <w:lvl w:ilvl="3" w:tentative="0">
      <w:start w:val="1"/>
      <w:numFmt w:val="decimal"/>
      <w:pStyle w:val="114"/>
      <w:suff w:val="nothing"/>
      <w:lvlText w:val="%1.%2.%3.%4　"/>
      <w:lvlJc w:val="left"/>
      <w:rPr>
        <w:rFonts w:hint="eastAsia" w:ascii="黑体" w:hAnsi="Times New Roman" w:eastAsia="黑体" w:cs="Times New Roman"/>
        <w:b w:val="0"/>
        <w:i w:val="0"/>
        <w:sz w:val="21"/>
      </w:rPr>
    </w:lvl>
    <w:lvl w:ilvl="4" w:tentative="0">
      <w:start w:val="1"/>
      <w:numFmt w:val="decimal"/>
      <w:pStyle w:val="119"/>
      <w:suff w:val="nothing"/>
      <w:lvlText w:val="%1.%2.%3.%4.%5　"/>
      <w:lvlJc w:val="left"/>
      <w:rPr>
        <w:rFonts w:hint="eastAsia" w:ascii="黑体" w:hAnsi="Times New Roman" w:eastAsia="黑体" w:cs="Times New Roman"/>
        <w:b w:val="0"/>
        <w:i w:val="0"/>
        <w:sz w:val="21"/>
      </w:rPr>
    </w:lvl>
    <w:lvl w:ilvl="5" w:tentative="0">
      <w:start w:val="1"/>
      <w:numFmt w:val="decimal"/>
      <w:pStyle w:val="122"/>
      <w:suff w:val="nothing"/>
      <w:lvlText w:val="%1.%2.%3.%4.%5.%6　"/>
      <w:lvlJc w:val="left"/>
      <w:rPr>
        <w:rFonts w:hint="eastAsia" w:ascii="黑体" w:hAnsi="Times New Roman" w:eastAsia="黑体" w:cs="Times New Roman"/>
        <w:b w:val="0"/>
        <w:i w:val="0"/>
        <w:sz w:val="21"/>
      </w:rPr>
    </w:lvl>
    <w:lvl w:ilvl="6" w:tentative="0">
      <w:start w:val="1"/>
      <w:numFmt w:val="decimal"/>
      <w:pStyle w:val="12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3">
    <w:nsid w:val="67F0CDB9"/>
    <w:multiLevelType w:val="multilevel"/>
    <w:tmpl w:val="67F0CDB9"/>
    <w:lvl w:ilvl="0" w:tentative="0">
      <w:start w:val="1"/>
      <w:numFmt w:val="lowerLetter"/>
      <w:lvlText w:val="%1）"/>
      <w:lvlJc w:val="left"/>
      <w:pPr>
        <w:ind w:left="559" w:hanging="360"/>
      </w:pPr>
      <w:rPr>
        <w:rFonts w:hint="default"/>
      </w:r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abstractNum w:abstractNumId="44">
    <w:nsid w:val="6CB36BEE"/>
    <w:multiLevelType w:val="multilevel"/>
    <w:tmpl w:val="6CB36BEE"/>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15"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5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6">
    <w:nsid w:val="6D6C07CD"/>
    <w:multiLevelType w:val="multilevel"/>
    <w:tmpl w:val="6D6C07CD"/>
    <w:lvl w:ilvl="0" w:tentative="0">
      <w:start w:val="1"/>
      <w:numFmt w:val="lowerLetter"/>
      <w:pStyle w:val="131"/>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21"/>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47">
    <w:nsid w:val="6DBF04F4"/>
    <w:multiLevelType w:val="multilevel"/>
    <w:tmpl w:val="6DBF04F4"/>
    <w:lvl w:ilvl="0" w:tentative="0">
      <w:start w:val="1"/>
      <w:numFmt w:val="none"/>
      <w:pStyle w:val="83"/>
      <w:suff w:val="nothing"/>
      <w:lvlText w:val="%1注："/>
      <w:lvlJc w:val="left"/>
      <w:pPr>
        <w:ind w:left="726" w:hanging="363"/>
      </w:pPr>
      <w:rPr>
        <w:rFonts w:hint="eastAsia" w:ascii="黑体" w:hAnsi="Times New Roman" w:eastAsia="黑体" w:cs="Times New Roman"/>
        <w:b w:val="0"/>
        <w:i w:val="0"/>
        <w:sz w:val="18"/>
        <w:lang w:val="de-DE"/>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48">
    <w:nsid w:val="713A06E4"/>
    <w:multiLevelType w:val="multilevel"/>
    <w:tmpl w:val="713A06E4"/>
    <w:lvl w:ilvl="0" w:tentative="0">
      <w:start w:val="1"/>
      <w:numFmt w:val="lowerLetter"/>
      <w:lvlText w:val="%1）"/>
      <w:lvlJc w:val="left"/>
      <w:pPr>
        <w:tabs>
          <w:tab w:val="left" w:pos="786"/>
        </w:tabs>
        <w:ind w:left="786" w:hanging="360"/>
      </w:pPr>
      <w:rPr>
        <w:rFonts w:hint="default"/>
      </w:rPr>
    </w:lvl>
    <w:lvl w:ilvl="1" w:tentative="0">
      <w:start w:val="1"/>
      <w:numFmt w:val="lowerLetter"/>
      <w:lvlText w:val="%2)"/>
      <w:lvlJc w:val="left"/>
      <w:pPr>
        <w:tabs>
          <w:tab w:val="left" w:pos="846"/>
        </w:tabs>
        <w:ind w:left="846" w:hanging="420"/>
      </w:pPr>
    </w:lvl>
    <w:lvl w:ilvl="2" w:tentative="0">
      <w:start w:val="1"/>
      <w:numFmt w:val="lowerRoman"/>
      <w:lvlText w:val="%3."/>
      <w:lvlJc w:val="right"/>
      <w:pPr>
        <w:tabs>
          <w:tab w:val="left" w:pos="1266"/>
        </w:tabs>
        <w:ind w:left="1266" w:hanging="420"/>
      </w:pPr>
    </w:lvl>
    <w:lvl w:ilvl="3" w:tentative="0">
      <w:start w:val="1"/>
      <w:numFmt w:val="decimal"/>
      <w:lvlText w:val="%4."/>
      <w:lvlJc w:val="left"/>
      <w:pPr>
        <w:tabs>
          <w:tab w:val="left" w:pos="1686"/>
        </w:tabs>
        <w:ind w:left="1686" w:hanging="420"/>
      </w:pPr>
    </w:lvl>
    <w:lvl w:ilvl="4" w:tentative="0">
      <w:start w:val="1"/>
      <w:numFmt w:val="lowerLetter"/>
      <w:lvlText w:val="%5)"/>
      <w:lvlJc w:val="left"/>
      <w:pPr>
        <w:tabs>
          <w:tab w:val="left" w:pos="2106"/>
        </w:tabs>
        <w:ind w:left="2106" w:hanging="420"/>
      </w:pPr>
    </w:lvl>
    <w:lvl w:ilvl="5" w:tentative="0">
      <w:start w:val="1"/>
      <w:numFmt w:val="lowerRoman"/>
      <w:lvlText w:val="%6."/>
      <w:lvlJc w:val="right"/>
      <w:pPr>
        <w:tabs>
          <w:tab w:val="left" w:pos="2526"/>
        </w:tabs>
        <w:ind w:left="2526" w:hanging="420"/>
      </w:pPr>
    </w:lvl>
    <w:lvl w:ilvl="6" w:tentative="0">
      <w:start w:val="1"/>
      <w:numFmt w:val="decimal"/>
      <w:lvlText w:val="%7."/>
      <w:lvlJc w:val="left"/>
      <w:pPr>
        <w:tabs>
          <w:tab w:val="left" w:pos="2946"/>
        </w:tabs>
        <w:ind w:left="2946" w:hanging="420"/>
      </w:pPr>
    </w:lvl>
    <w:lvl w:ilvl="7" w:tentative="0">
      <w:start w:val="1"/>
      <w:numFmt w:val="lowerLetter"/>
      <w:lvlText w:val="%8)"/>
      <w:lvlJc w:val="left"/>
      <w:pPr>
        <w:tabs>
          <w:tab w:val="left" w:pos="3366"/>
        </w:tabs>
        <w:ind w:left="3366" w:hanging="420"/>
      </w:pPr>
    </w:lvl>
    <w:lvl w:ilvl="8" w:tentative="0">
      <w:start w:val="1"/>
      <w:numFmt w:val="lowerRoman"/>
      <w:lvlText w:val="%9."/>
      <w:lvlJc w:val="right"/>
      <w:pPr>
        <w:tabs>
          <w:tab w:val="left" w:pos="3786"/>
        </w:tabs>
        <w:ind w:left="3786" w:hanging="420"/>
      </w:pPr>
    </w:lvl>
  </w:abstractNum>
  <w:abstractNum w:abstractNumId="49">
    <w:nsid w:val="715237EF"/>
    <w:multiLevelType w:val="multilevel"/>
    <w:tmpl w:val="715237EF"/>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7B763645"/>
    <w:multiLevelType w:val="multilevel"/>
    <w:tmpl w:val="7B763645"/>
    <w:lvl w:ilvl="0" w:tentative="0">
      <w:start w:val="1"/>
      <w:numFmt w:val="lowerLetter"/>
      <w:lvlText w:val="%1）"/>
      <w:lvlJc w:val="left"/>
      <w:pPr>
        <w:ind w:left="559" w:hanging="360"/>
      </w:pPr>
      <w:rPr>
        <w:rFonts w:hint="default"/>
      </w:r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abstractNum w:abstractNumId="51">
    <w:nsid w:val="7C4B28F0"/>
    <w:multiLevelType w:val="multilevel"/>
    <w:tmpl w:val="7C4B28F0"/>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DE22B57"/>
    <w:multiLevelType w:val="multilevel"/>
    <w:tmpl w:val="7DE22B57"/>
    <w:lvl w:ilvl="0" w:tentative="0">
      <w:start w:val="1"/>
      <w:numFmt w:val="lowerLetter"/>
      <w:lvlText w:val="%1）"/>
      <w:lvlJc w:val="left"/>
      <w:pPr>
        <w:tabs>
          <w:tab w:val="left" w:pos="927"/>
        </w:tabs>
        <w:ind w:left="927"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7"/>
  </w:num>
  <w:num w:numId="2">
    <w:abstractNumId w:val="26"/>
  </w:num>
  <w:num w:numId="3">
    <w:abstractNumId w:val="18"/>
  </w:num>
  <w:num w:numId="4">
    <w:abstractNumId w:val="24"/>
  </w:num>
  <w:num w:numId="5">
    <w:abstractNumId w:val="7"/>
  </w:num>
  <w:num w:numId="6">
    <w:abstractNumId w:val="30"/>
  </w:num>
  <w:num w:numId="7">
    <w:abstractNumId w:val="47"/>
  </w:num>
  <w:num w:numId="8">
    <w:abstractNumId w:val="4"/>
  </w:num>
  <w:num w:numId="9">
    <w:abstractNumId w:val="31"/>
  </w:num>
  <w:num w:numId="10">
    <w:abstractNumId w:val="17"/>
  </w:num>
  <w:num w:numId="11">
    <w:abstractNumId w:val="42"/>
  </w:num>
  <w:num w:numId="12">
    <w:abstractNumId w:val="40"/>
  </w:num>
  <w:num w:numId="13">
    <w:abstractNumId w:val="46"/>
  </w:num>
  <w:num w:numId="14">
    <w:abstractNumId w:val="22"/>
  </w:num>
  <w:num w:numId="15">
    <w:abstractNumId w:val="6"/>
  </w:num>
  <w:num w:numId="16">
    <w:abstractNumId w:val="9"/>
  </w:num>
  <w:num w:numId="17">
    <w:abstractNumId w:val="41"/>
  </w:num>
  <w:num w:numId="18">
    <w:abstractNumId w:val="34"/>
  </w:num>
  <w:num w:numId="19">
    <w:abstractNumId w:val="45"/>
  </w:num>
  <w:num w:numId="20">
    <w:abstractNumId w:val="1"/>
  </w:num>
  <w:num w:numId="21">
    <w:abstractNumId w:val="3"/>
  </w:num>
  <w:num w:numId="22">
    <w:abstractNumId w:val="13"/>
  </w:num>
  <w:num w:numId="23">
    <w:abstractNumId w:val="44"/>
  </w:num>
  <w:num w:numId="24">
    <w:abstractNumId w:val="23"/>
  </w:num>
  <w:num w:numId="25">
    <w:abstractNumId w:val="5"/>
  </w:num>
  <w:num w:numId="26">
    <w:abstractNumId w:val="50"/>
  </w:num>
  <w:num w:numId="27">
    <w:abstractNumId w:val="28"/>
  </w:num>
  <w:num w:numId="28">
    <w:abstractNumId w:val="37"/>
  </w:num>
  <w:num w:numId="29">
    <w:abstractNumId w:val="35"/>
  </w:num>
  <w:num w:numId="30">
    <w:abstractNumId w:val="11"/>
  </w:num>
  <w:num w:numId="31">
    <w:abstractNumId w:val="0"/>
  </w:num>
  <w:num w:numId="32">
    <w:abstractNumId w:val="49"/>
  </w:num>
  <w:num w:numId="33">
    <w:abstractNumId w:val="14"/>
  </w:num>
  <w:num w:numId="34">
    <w:abstractNumId w:val="16"/>
  </w:num>
  <w:num w:numId="35">
    <w:abstractNumId w:val="12"/>
  </w:num>
  <w:num w:numId="36">
    <w:abstractNumId w:val="2"/>
  </w:num>
  <w:num w:numId="37">
    <w:abstractNumId w:val="10"/>
  </w:num>
  <w:num w:numId="38">
    <w:abstractNumId w:val="29"/>
  </w:num>
  <w:num w:numId="39">
    <w:abstractNumId w:val="20"/>
  </w:num>
  <w:num w:numId="40">
    <w:abstractNumId w:val="19"/>
  </w:num>
  <w:num w:numId="41">
    <w:abstractNumId w:val="33"/>
  </w:num>
  <w:num w:numId="42">
    <w:abstractNumId w:val="52"/>
  </w:num>
  <w:num w:numId="43">
    <w:abstractNumId w:val="39"/>
  </w:num>
  <w:num w:numId="44">
    <w:abstractNumId w:val="38"/>
  </w:num>
  <w:num w:numId="45">
    <w:abstractNumId w:val="48"/>
  </w:num>
  <w:num w:numId="46">
    <w:abstractNumId w:val="43"/>
  </w:num>
  <w:num w:numId="47">
    <w:abstractNumId w:val="32"/>
  </w:num>
  <w:num w:numId="48">
    <w:abstractNumId w:val="15"/>
  </w:num>
  <w:num w:numId="49">
    <w:abstractNumId w:val="21"/>
  </w:num>
  <w:num w:numId="50">
    <w:abstractNumId w:val="8"/>
  </w:num>
  <w:num w:numId="51">
    <w:abstractNumId w:val="36"/>
  </w:num>
  <w:num w:numId="52">
    <w:abstractNumId w:val="51"/>
  </w:num>
  <w:num w:numId="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NjQwY2ZjOWVlMTQ5YTdhM2NiYjMxODE4NzU3ODEifQ=="/>
  </w:docVars>
  <w:rsids>
    <w:rsidRoot w:val="00035925"/>
    <w:rsid w:val="000001FF"/>
    <w:rsid w:val="00000244"/>
    <w:rsid w:val="00000A81"/>
    <w:rsid w:val="00000B5B"/>
    <w:rsid w:val="0000185F"/>
    <w:rsid w:val="000029F7"/>
    <w:rsid w:val="00002A5C"/>
    <w:rsid w:val="00002EF2"/>
    <w:rsid w:val="00003597"/>
    <w:rsid w:val="00003758"/>
    <w:rsid w:val="000056B5"/>
    <w:rsid w:val="0000586F"/>
    <w:rsid w:val="00005D58"/>
    <w:rsid w:val="00005FFA"/>
    <w:rsid w:val="00010468"/>
    <w:rsid w:val="00010528"/>
    <w:rsid w:val="00011C65"/>
    <w:rsid w:val="00011F06"/>
    <w:rsid w:val="00011FD4"/>
    <w:rsid w:val="00012209"/>
    <w:rsid w:val="00013D86"/>
    <w:rsid w:val="00013E02"/>
    <w:rsid w:val="00014A80"/>
    <w:rsid w:val="00015DBF"/>
    <w:rsid w:val="00016237"/>
    <w:rsid w:val="0001681D"/>
    <w:rsid w:val="000174F8"/>
    <w:rsid w:val="00017693"/>
    <w:rsid w:val="00020AEC"/>
    <w:rsid w:val="0002143C"/>
    <w:rsid w:val="0002148F"/>
    <w:rsid w:val="0002163C"/>
    <w:rsid w:val="00022A29"/>
    <w:rsid w:val="00023455"/>
    <w:rsid w:val="00023D0C"/>
    <w:rsid w:val="00023E9D"/>
    <w:rsid w:val="00024567"/>
    <w:rsid w:val="00025957"/>
    <w:rsid w:val="00025A65"/>
    <w:rsid w:val="00026C31"/>
    <w:rsid w:val="00027280"/>
    <w:rsid w:val="00027B3B"/>
    <w:rsid w:val="00027B56"/>
    <w:rsid w:val="00027D07"/>
    <w:rsid w:val="00027DBD"/>
    <w:rsid w:val="00030536"/>
    <w:rsid w:val="00031AFA"/>
    <w:rsid w:val="000320A7"/>
    <w:rsid w:val="00033BA5"/>
    <w:rsid w:val="00033BB8"/>
    <w:rsid w:val="00033CE4"/>
    <w:rsid w:val="00034B0A"/>
    <w:rsid w:val="00035925"/>
    <w:rsid w:val="00035FF6"/>
    <w:rsid w:val="000365DC"/>
    <w:rsid w:val="00040FBD"/>
    <w:rsid w:val="000418B0"/>
    <w:rsid w:val="000418E2"/>
    <w:rsid w:val="000422BB"/>
    <w:rsid w:val="00042DD1"/>
    <w:rsid w:val="0004344C"/>
    <w:rsid w:val="000436D4"/>
    <w:rsid w:val="00044339"/>
    <w:rsid w:val="000445E5"/>
    <w:rsid w:val="00044AA5"/>
    <w:rsid w:val="000452C9"/>
    <w:rsid w:val="00046F27"/>
    <w:rsid w:val="00047C16"/>
    <w:rsid w:val="00047D50"/>
    <w:rsid w:val="0005146F"/>
    <w:rsid w:val="00051661"/>
    <w:rsid w:val="0005179B"/>
    <w:rsid w:val="000535F3"/>
    <w:rsid w:val="00053856"/>
    <w:rsid w:val="00053DDD"/>
    <w:rsid w:val="00055A96"/>
    <w:rsid w:val="00057BDA"/>
    <w:rsid w:val="00057DF2"/>
    <w:rsid w:val="000600E8"/>
    <w:rsid w:val="0006126F"/>
    <w:rsid w:val="00061CE1"/>
    <w:rsid w:val="00062344"/>
    <w:rsid w:val="00062AE2"/>
    <w:rsid w:val="00062E40"/>
    <w:rsid w:val="00064B37"/>
    <w:rsid w:val="00064BF6"/>
    <w:rsid w:val="0006525E"/>
    <w:rsid w:val="000663FC"/>
    <w:rsid w:val="0006665C"/>
    <w:rsid w:val="00067896"/>
    <w:rsid w:val="00067CDF"/>
    <w:rsid w:val="0007009B"/>
    <w:rsid w:val="0007023E"/>
    <w:rsid w:val="00070EB2"/>
    <w:rsid w:val="000725FD"/>
    <w:rsid w:val="0007266E"/>
    <w:rsid w:val="000730F8"/>
    <w:rsid w:val="00073BD5"/>
    <w:rsid w:val="00073E15"/>
    <w:rsid w:val="00073F65"/>
    <w:rsid w:val="00074FBE"/>
    <w:rsid w:val="00075017"/>
    <w:rsid w:val="0007570F"/>
    <w:rsid w:val="00075858"/>
    <w:rsid w:val="00077297"/>
    <w:rsid w:val="000776CD"/>
    <w:rsid w:val="00081ADC"/>
    <w:rsid w:val="000836F6"/>
    <w:rsid w:val="00083A09"/>
    <w:rsid w:val="00083E17"/>
    <w:rsid w:val="0008422F"/>
    <w:rsid w:val="00084E17"/>
    <w:rsid w:val="000850BD"/>
    <w:rsid w:val="00085851"/>
    <w:rsid w:val="00085887"/>
    <w:rsid w:val="00085E70"/>
    <w:rsid w:val="0008683A"/>
    <w:rsid w:val="00086B76"/>
    <w:rsid w:val="00086FAE"/>
    <w:rsid w:val="000874FE"/>
    <w:rsid w:val="0008777E"/>
    <w:rsid w:val="0009005E"/>
    <w:rsid w:val="00090069"/>
    <w:rsid w:val="00092857"/>
    <w:rsid w:val="00094A9C"/>
    <w:rsid w:val="00094F7C"/>
    <w:rsid w:val="00095FB6"/>
    <w:rsid w:val="00097574"/>
    <w:rsid w:val="00097B9A"/>
    <w:rsid w:val="000A097F"/>
    <w:rsid w:val="000A108D"/>
    <w:rsid w:val="000A176A"/>
    <w:rsid w:val="000A1AFD"/>
    <w:rsid w:val="000A20A9"/>
    <w:rsid w:val="000A297E"/>
    <w:rsid w:val="000A2AAF"/>
    <w:rsid w:val="000A48B1"/>
    <w:rsid w:val="000A492B"/>
    <w:rsid w:val="000A521B"/>
    <w:rsid w:val="000A5BA5"/>
    <w:rsid w:val="000A6656"/>
    <w:rsid w:val="000A6FAC"/>
    <w:rsid w:val="000A7374"/>
    <w:rsid w:val="000A7DE1"/>
    <w:rsid w:val="000B0280"/>
    <w:rsid w:val="000B2662"/>
    <w:rsid w:val="000B2DB7"/>
    <w:rsid w:val="000B3143"/>
    <w:rsid w:val="000B3CC9"/>
    <w:rsid w:val="000B4BE4"/>
    <w:rsid w:val="000B4E30"/>
    <w:rsid w:val="000B5162"/>
    <w:rsid w:val="000B5841"/>
    <w:rsid w:val="000B5D00"/>
    <w:rsid w:val="000B69CB"/>
    <w:rsid w:val="000B6A4D"/>
    <w:rsid w:val="000B6E42"/>
    <w:rsid w:val="000B6F8B"/>
    <w:rsid w:val="000B721A"/>
    <w:rsid w:val="000B7C43"/>
    <w:rsid w:val="000C06E2"/>
    <w:rsid w:val="000C0F7E"/>
    <w:rsid w:val="000C1A5B"/>
    <w:rsid w:val="000C1FB8"/>
    <w:rsid w:val="000C43FE"/>
    <w:rsid w:val="000C472D"/>
    <w:rsid w:val="000C5015"/>
    <w:rsid w:val="000C55C2"/>
    <w:rsid w:val="000C56AE"/>
    <w:rsid w:val="000C6B05"/>
    <w:rsid w:val="000C6DD6"/>
    <w:rsid w:val="000C6E35"/>
    <w:rsid w:val="000C73D4"/>
    <w:rsid w:val="000C7BD2"/>
    <w:rsid w:val="000D1521"/>
    <w:rsid w:val="000D287C"/>
    <w:rsid w:val="000D3D4C"/>
    <w:rsid w:val="000D41F4"/>
    <w:rsid w:val="000D4F51"/>
    <w:rsid w:val="000D5641"/>
    <w:rsid w:val="000D6594"/>
    <w:rsid w:val="000D694C"/>
    <w:rsid w:val="000D6A30"/>
    <w:rsid w:val="000D718B"/>
    <w:rsid w:val="000D7259"/>
    <w:rsid w:val="000D765A"/>
    <w:rsid w:val="000D7973"/>
    <w:rsid w:val="000D7E02"/>
    <w:rsid w:val="000E05E0"/>
    <w:rsid w:val="000E0AAA"/>
    <w:rsid w:val="000E0B9F"/>
    <w:rsid w:val="000E0C46"/>
    <w:rsid w:val="000E10CC"/>
    <w:rsid w:val="000E10F9"/>
    <w:rsid w:val="000E1153"/>
    <w:rsid w:val="000E1456"/>
    <w:rsid w:val="000E14BC"/>
    <w:rsid w:val="000E306D"/>
    <w:rsid w:val="000E323C"/>
    <w:rsid w:val="000E3DD9"/>
    <w:rsid w:val="000E57CE"/>
    <w:rsid w:val="000E59EC"/>
    <w:rsid w:val="000E5A91"/>
    <w:rsid w:val="000E6EAD"/>
    <w:rsid w:val="000F030C"/>
    <w:rsid w:val="000F04D0"/>
    <w:rsid w:val="000F06AC"/>
    <w:rsid w:val="000F129C"/>
    <w:rsid w:val="000F2A60"/>
    <w:rsid w:val="000F2CAC"/>
    <w:rsid w:val="000F36DF"/>
    <w:rsid w:val="000F6728"/>
    <w:rsid w:val="000F70C4"/>
    <w:rsid w:val="000F7F90"/>
    <w:rsid w:val="00100699"/>
    <w:rsid w:val="0010078A"/>
    <w:rsid w:val="00100B08"/>
    <w:rsid w:val="001011E7"/>
    <w:rsid w:val="00101E9B"/>
    <w:rsid w:val="00101F51"/>
    <w:rsid w:val="00102D60"/>
    <w:rsid w:val="00102E1E"/>
    <w:rsid w:val="0010457E"/>
    <w:rsid w:val="00104B1F"/>
    <w:rsid w:val="0010534B"/>
    <w:rsid w:val="001056DE"/>
    <w:rsid w:val="00105E90"/>
    <w:rsid w:val="001068D3"/>
    <w:rsid w:val="0010775F"/>
    <w:rsid w:val="00107936"/>
    <w:rsid w:val="00110830"/>
    <w:rsid w:val="00110D08"/>
    <w:rsid w:val="001124C0"/>
    <w:rsid w:val="00112B88"/>
    <w:rsid w:val="00112E41"/>
    <w:rsid w:val="00112EB9"/>
    <w:rsid w:val="0011473B"/>
    <w:rsid w:val="0011535B"/>
    <w:rsid w:val="001201E0"/>
    <w:rsid w:val="00121224"/>
    <w:rsid w:val="00122216"/>
    <w:rsid w:val="0012232D"/>
    <w:rsid w:val="00125079"/>
    <w:rsid w:val="001253F6"/>
    <w:rsid w:val="0012619D"/>
    <w:rsid w:val="001262B1"/>
    <w:rsid w:val="001267DF"/>
    <w:rsid w:val="00130D56"/>
    <w:rsid w:val="00131188"/>
    <w:rsid w:val="0013175F"/>
    <w:rsid w:val="001329D9"/>
    <w:rsid w:val="00132EE1"/>
    <w:rsid w:val="001331E9"/>
    <w:rsid w:val="001343DF"/>
    <w:rsid w:val="001343E4"/>
    <w:rsid w:val="00134FB7"/>
    <w:rsid w:val="001350C7"/>
    <w:rsid w:val="00135A2F"/>
    <w:rsid w:val="00135F2F"/>
    <w:rsid w:val="00136604"/>
    <w:rsid w:val="00136B15"/>
    <w:rsid w:val="00137A1D"/>
    <w:rsid w:val="00140B22"/>
    <w:rsid w:val="00142E67"/>
    <w:rsid w:val="001454A3"/>
    <w:rsid w:val="00145B86"/>
    <w:rsid w:val="00146F6C"/>
    <w:rsid w:val="00147093"/>
    <w:rsid w:val="001512B4"/>
    <w:rsid w:val="00152ED7"/>
    <w:rsid w:val="001533DE"/>
    <w:rsid w:val="00153BA2"/>
    <w:rsid w:val="001554C5"/>
    <w:rsid w:val="001555E5"/>
    <w:rsid w:val="00155FF8"/>
    <w:rsid w:val="00157218"/>
    <w:rsid w:val="00157929"/>
    <w:rsid w:val="0016046E"/>
    <w:rsid w:val="00160B1E"/>
    <w:rsid w:val="00160B34"/>
    <w:rsid w:val="00160C7A"/>
    <w:rsid w:val="0016125F"/>
    <w:rsid w:val="0016159E"/>
    <w:rsid w:val="001615B3"/>
    <w:rsid w:val="001620A5"/>
    <w:rsid w:val="001626E4"/>
    <w:rsid w:val="00162D23"/>
    <w:rsid w:val="00164880"/>
    <w:rsid w:val="00164933"/>
    <w:rsid w:val="00164E53"/>
    <w:rsid w:val="00166966"/>
    <w:rsid w:val="0016699D"/>
    <w:rsid w:val="00166E69"/>
    <w:rsid w:val="00166F72"/>
    <w:rsid w:val="00167606"/>
    <w:rsid w:val="0017098E"/>
    <w:rsid w:val="001714F3"/>
    <w:rsid w:val="00172227"/>
    <w:rsid w:val="00172503"/>
    <w:rsid w:val="0017251D"/>
    <w:rsid w:val="00172601"/>
    <w:rsid w:val="00172A73"/>
    <w:rsid w:val="00174085"/>
    <w:rsid w:val="00175159"/>
    <w:rsid w:val="00176208"/>
    <w:rsid w:val="00176A48"/>
    <w:rsid w:val="00177423"/>
    <w:rsid w:val="001775EE"/>
    <w:rsid w:val="00177EE5"/>
    <w:rsid w:val="001802C6"/>
    <w:rsid w:val="001803D2"/>
    <w:rsid w:val="00180950"/>
    <w:rsid w:val="00180AE4"/>
    <w:rsid w:val="00181070"/>
    <w:rsid w:val="00181464"/>
    <w:rsid w:val="0018211B"/>
    <w:rsid w:val="0018234E"/>
    <w:rsid w:val="001823D4"/>
    <w:rsid w:val="0018271B"/>
    <w:rsid w:val="001840D3"/>
    <w:rsid w:val="0018434D"/>
    <w:rsid w:val="00184983"/>
    <w:rsid w:val="00184A2B"/>
    <w:rsid w:val="001853CB"/>
    <w:rsid w:val="00186A21"/>
    <w:rsid w:val="00187C89"/>
    <w:rsid w:val="001900F8"/>
    <w:rsid w:val="001902B5"/>
    <w:rsid w:val="001906EE"/>
    <w:rsid w:val="00191258"/>
    <w:rsid w:val="00191D5A"/>
    <w:rsid w:val="001921C5"/>
    <w:rsid w:val="00192680"/>
    <w:rsid w:val="00192ACE"/>
    <w:rsid w:val="00193037"/>
    <w:rsid w:val="0019308D"/>
    <w:rsid w:val="001930D2"/>
    <w:rsid w:val="00193447"/>
    <w:rsid w:val="00193A2C"/>
    <w:rsid w:val="00193B02"/>
    <w:rsid w:val="00193E9E"/>
    <w:rsid w:val="001946F6"/>
    <w:rsid w:val="00196906"/>
    <w:rsid w:val="00197EFC"/>
    <w:rsid w:val="001A0A82"/>
    <w:rsid w:val="001A1001"/>
    <w:rsid w:val="001A138C"/>
    <w:rsid w:val="001A288E"/>
    <w:rsid w:val="001A4561"/>
    <w:rsid w:val="001A53C6"/>
    <w:rsid w:val="001A580E"/>
    <w:rsid w:val="001A582E"/>
    <w:rsid w:val="001A6169"/>
    <w:rsid w:val="001A6276"/>
    <w:rsid w:val="001A63C5"/>
    <w:rsid w:val="001B0312"/>
    <w:rsid w:val="001B0590"/>
    <w:rsid w:val="001B0741"/>
    <w:rsid w:val="001B0E39"/>
    <w:rsid w:val="001B12BF"/>
    <w:rsid w:val="001B1445"/>
    <w:rsid w:val="001B19EA"/>
    <w:rsid w:val="001B3539"/>
    <w:rsid w:val="001B353A"/>
    <w:rsid w:val="001B4347"/>
    <w:rsid w:val="001B61EB"/>
    <w:rsid w:val="001B6DC2"/>
    <w:rsid w:val="001B7924"/>
    <w:rsid w:val="001B7E6E"/>
    <w:rsid w:val="001C0669"/>
    <w:rsid w:val="001C08F1"/>
    <w:rsid w:val="001C103D"/>
    <w:rsid w:val="001C149C"/>
    <w:rsid w:val="001C21AC"/>
    <w:rsid w:val="001C3CEE"/>
    <w:rsid w:val="001C47BA"/>
    <w:rsid w:val="001C4C12"/>
    <w:rsid w:val="001C4EC6"/>
    <w:rsid w:val="001C4FCE"/>
    <w:rsid w:val="001C515B"/>
    <w:rsid w:val="001C59EA"/>
    <w:rsid w:val="001C60AA"/>
    <w:rsid w:val="001D03DA"/>
    <w:rsid w:val="001D063E"/>
    <w:rsid w:val="001D0908"/>
    <w:rsid w:val="001D0D0E"/>
    <w:rsid w:val="001D21C3"/>
    <w:rsid w:val="001D2518"/>
    <w:rsid w:val="001D286F"/>
    <w:rsid w:val="001D29F0"/>
    <w:rsid w:val="001D2B58"/>
    <w:rsid w:val="001D39D8"/>
    <w:rsid w:val="001D3ABE"/>
    <w:rsid w:val="001D3CD2"/>
    <w:rsid w:val="001D406C"/>
    <w:rsid w:val="001D41EE"/>
    <w:rsid w:val="001D4CFF"/>
    <w:rsid w:val="001D56AC"/>
    <w:rsid w:val="001D6A6B"/>
    <w:rsid w:val="001E0380"/>
    <w:rsid w:val="001E0C28"/>
    <w:rsid w:val="001E0C86"/>
    <w:rsid w:val="001E10EE"/>
    <w:rsid w:val="001E13B1"/>
    <w:rsid w:val="001E16F5"/>
    <w:rsid w:val="001E2847"/>
    <w:rsid w:val="001E28D2"/>
    <w:rsid w:val="001E2D37"/>
    <w:rsid w:val="001E3655"/>
    <w:rsid w:val="001E4098"/>
    <w:rsid w:val="001E7E2E"/>
    <w:rsid w:val="001F268C"/>
    <w:rsid w:val="001F28E2"/>
    <w:rsid w:val="001F3A19"/>
    <w:rsid w:val="001F4123"/>
    <w:rsid w:val="001F4547"/>
    <w:rsid w:val="001F47D0"/>
    <w:rsid w:val="001F63CF"/>
    <w:rsid w:val="0020063B"/>
    <w:rsid w:val="002013A7"/>
    <w:rsid w:val="00201F94"/>
    <w:rsid w:val="002029A5"/>
    <w:rsid w:val="002033EB"/>
    <w:rsid w:val="002044A7"/>
    <w:rsid w:val="00204576"/>
    <w:rsid w:val="00204ACE"/>
    <w:rsid w:val="00205C40"/>
    <w:rsid w:val="00205E28"/>
    <w:rsid w:val="002067BC"/>
    <w:rsid w:val="00210057"/>
    <w:rsid w:val="002105B7"/>
    <w:rsid w:val="00210C0B"/>
    <w:rsid w:val="0021146E"/>
    <w:rsid w:val="00211903"/>
    <w:rsid w:val="00212AA8"/>
    <w:rsid w:val="002140B7"/>
    <w:rsid w:val="00214E2E"/>
    <w:rsid w:val="00215035"/>
    <w:rsid w:val="002151E1"/>
    <w:rsid w:val="002158B8"/>
    <w:rsid w:val="00216B83"/>
    <w:rsid w:val="00216D70"/>
    <w:rsid w:val="0021748F"/>
    <w:rsid w:val="00217986"/>
    <w:rsid w:val="00217A39"/>
    <w:rsid w:val="002208E5"/>
    <w:rsid w:val="00221F83"/>
    <w:rsid w:val="00223234"/>
    <w:rsid w:val="002235D9"/>
    <w:rsid w:val="00223D09"/>
    <w:rsid w:val="00223D6C"/>
    <w:rsid w:val="00224456"/>
    <w:rsid w:val="00224F81"/>
    <w:rsid w:val="002258A3"/>
    <w:rsid w:val="002266C2"/>
    <w:rsid w:val="0022774B"/>
    <w:rsid w:val="00230A96"/>
    <w:rsid w:val="0023117E"/>
    <w:rsid w:val="002316A4"/>
    <w:rsid w:val="0023228E"/>
    <w:rsid w:val="002324C0"/>
    <w:rsid w:val="00233B7E"/>
    <w:rsid w:val="00233E67"/>
    <w:rsid w:val="00233F94"/>
    <w:rsid w:val="00234467"/>
    <w:rsid w:val="00234F75"/>
    <w:rsid w:val="002351E2"/>
    <w:rsid w:val="00237D7A"/>
    <w:rsid w:val="00237D8D"/>
    <w:rsid w:val="00240841"/>
    <w:rsid w:val="00240B00"/>
    <w:rsid w:val="00240F51"/>
    <w:rsid w:val="00241DA2"/>
    <w:rsid w:val="00242099"/>
    <w:rsid w:val="002431A6"/>
    <w:rsid w:val="0024411D"/>
    <w:rsid w:val="002442DA"/>
    <w:rsid w:val="00244E12"/>
    <w:rsid w:val="00244F32"/>
    <w:rsid w:val="0024507D"/>
    <w:rsid w:val="0024511C"/>
    <w:rsid w:val="002459E1"/>
    <w:rsid w:val="0024627F"/>
    <w:rsid w:val="00246535"/>
    <w:rsid w:val="00247B01"/>
    <w:rsid w:val="00247FEE"/>
    <w:rsid w:val="00250E7D"/>
    <w:rsid w:val="00250F0A"/>
    <w:rsid w:val="002514CB"/>
    <w:rsid w:val="002524C6"/>
    <w:rsid w:val="0025255E"/>
    <w:rsid w:val="00252974"/>
    <w:rsid w:val="00253023"/>
    <w:rsid w:val="002532DB"/>
    <w:rsid w:val="002543F1"/>
    <w:rsid w:val="00254FEF"/>
    <w:rsid w:val="00255302"/>
    <w:rsid w:val="00255F3C"/>
    <w:rsid w:val="002565D5"/>
    <w:rsid w:val="0026143B"/>
    <w:rsid w:val="00261964"/>
    <w:rsid w:val="00261BE5"/>
    <w:rsid w:val="002622C0"/>
    <w:rsid w:val="00264454"/>
    <w:rsid w:val="00264790"/>
    <w:rsid w:val="00264C37"/>
    <w:rsid w:val="002650D7"/>
    <w:rsid w:val="00267C3B"/>
    <w:rsid w:val="00267D0F"/>
    <w:rsid w:val="0027005A"/>
    <w:rsid w:val="00270210"/>
    <w:rsid w:val="0027106A"/>
    <w:rsid w:val="00271E50"/>
    <w:rsid w:val="00272D02"/>
    <w:rsid w:val="00272DB8"/>
    <w:rsid w:val="00273BA5"/>
    <w:rsid w:val="00273C41"/>
    <w:rsid w:val="00274C76"/>
    <w:rsid w:val="00275A37"/>
    <w:rsid w:val="00275F09"/>
    <w:rsid w:val="002761D0"/>
    <w:rsid w:val="00276EA5"/>
    <w:rsid w:val="002772A9"/>
    <w:rsid w:val="00277366"/>
    <w:rsid w:val="002778AE"/>
    <w:rsid w:val="00277B3B"/>
    <w:rsid w:val="00281066"/>
    <w:rsid w:val="0028155B"/>
    <w:rsid w:val="0028269A"/>
    <w:rsid w:val="00282858"/>
    <w:rsid w:val="00283590"/>
    <w:rsid w:val="002849C2"/>
    <w:rsid w:val="00284BFE"/>
    <w:rsid w:val="00286973"/>
    <w:rsid w:val="00286FD6"/>
    <w:rsid w:val="002877CF"/>
    <w:rsid w:val="00287DF1"/>
    <w:rsid w:val="00290225"/>
    <w:rsid w:val="00292868"/>
    <w:rsid w:val="00292922"/>
    <w:rsid w:val="002944AA"/>
    <w:rsid w:val="00294E70"/>
    <w:rsid w:val="0029506A"/>
    <w:rsid w:val="002957C8"/>
    <w:rsid w:val="00296C6D"/>
    <w:rsid w:val="00297CF7"/>
    <w:rsid w:val="00297F88"/>
    <w:rsid w:val="002A10AB"/>
    <w:rsid w:val="002A113B"/>
    <w:rsid w:val="002A15D7"/>
    <w:rsid w:val="002A1924"/>
    <w:rsid w:val="002A1E36"/>
    <w:rsid w:val="002A288F"/>
    <w:rsid w:val="002A306F"/>
    <w:rsid w:val="002A49C6"/>
    <w:rsid w:val="002A49F2"/>
    <w:rsid w:val="002A50C6"/>
    <w:rsid w:val="002A58F5"/>
    <w:rsid w:val="002A7420"/>
    <w:rsid w:val="002A7752"/>
    <w:rsid w:val="002A7CEB"/>
    <w:rsid w:val="002A7E94"/>
    <w:rsid w:val="002B07B7"/>
    <w:rsid w:val="002B0BAC"/>
    <w:rsid w:val="002B0E38"/>
    <w:rsid w:val="002B0EC0"/>
    <w:rsid w:val="002B0F12"/>
    <w:rsid w:val="002B1308"/>
    <w:rsid w:val="002B21DD"/>
    <w:rsid w:val="002B2630"/>
    <w:rsid w:val="002B372C"/>
    <w:rsid w:val="002B3752"/>
    <w:rsid w:val="002B4554"/>
    <w:rsid w:val="002B4A18"/>
    <w:rsid w:val="002B5AE9"/>
    <w:rsid w:val="002B5E2B"/>
    <w:rsid w:val="002B632E"/>
    <w:rsid w:val="002B6A2C"/>
    <w:rsid w:val="002B7A97"/>
    <w:rsid w:val="002C02C4"/>
    <w:rsid w:val="002C0657"/>
    <w:rsid w:val="002C1E91"/>
    <w:rsid w:val="002C338B"/>
    <w:rsid w:val="002C4777"/>
    <w:rsid w:val="002C5384"/>
    <w:rsid w:val="002C613A"/>
    <w:rsid w:val="002C6D56"/>
    <w:rsid w:val="002C72D8"/>
    <w:rsid w:val="002C7810"/>
    <w:rsid w:val="002C7A66"/>
    <w:rsid w:val="002D0173"/>
    <w:rsid w:val="002D1189"/>
    <w:rsid w:val="002D11FA"/>
    <w:rsid w:val="002D2174"/>
    <w:rsid w:val="002D2E7A"/>
    <w:rsid w:val="002D4179"/>
    <w:rsid w:val="002D420F"/>
    <w:rsid w:val="002D4297"/>
    <w:rsid w:val="002D42CD"/>
    <w:rsid w:val="002D487F"/>
    <w:rsid w:val="002D58BA"/>
    <w:rsid w:val="002D6399"/>
    <w:rsid w:val="002D6851"/>
    <w:rsid w:val="002D69CE"/>
    <w:rsid w:val="002E046E"/>
    <w:rsid w:val="002E0686"/>
    <w:rsid w:val="002E0711"/>
    <w:rsid w:val="002E0DDF"/>
    <w:rsid w:val="002E0E84"/>
    <w:rsid w:val="002E1289"/>
    <w:rsid w:val="002E2521"/>
    <w:rsid w:val="002E27A6"/>
    <w:rsid w:val="002E2906"/>
    <w:rsid w:val="002E328E"/>
    <w:rsid w:val="002E3B11"/>
    <w:rsid w:val="002E3B69"/>
    <w:rsid w:val="002E3BB9"/>
    <w:rsid w:val="002E535F"/>
    <w:rsid w:val="002E5541"/>
    <w:rsid w:val="002E5635"/>
    <w:rsid w:val="002E5806"/>
    <w:rsid w:val="002E5D59"/>
    <w:rsid w:val="002E64C3"/>
    <w:rsid w:val="002E6A2C"/>
    <w:rsid w:val="002E713E"/>
    <w:rsid w:val="002F02ED"/>
    <w:rsid w:val="002F0EA4"/>
    <w:rsid w:val="002F1181"/>
    <w:rsid w:val="002F13E8"/>
    <w:rsid w:val="002F1435"/>
    <w:rsid w:val="002F16D8"/>
    <w:rsid w:val="002F1921"/>
    <w:rsid w:val="002F1D8C"/>
    <w:rsid w:val="002F21DA"/>
    <w:rsid w:val="002F28C8"/>
    <w:rsid w:val="002F29E8"/>
    <w:rsid w:val="002F2C05"/>
    <w:rsid w:val="002F2F60"/>
    <w:rsid w:val="002F35F4"/>
    <w:rsid w:val="002F39FC"/>
    <w:rsid w:val="002F436A"/>
    <w:rsid w:val="002F45CA"/>
    <w:rsid w:val="002F48D6"/>
    <w:rsid w:val="002F5C15"/>
    <w:rsid w:val="002F6BB6"/>
    <w:rsid w:val="00301F39"/>
    <w:rsid w:val="00305744"/>
    <w:rsid w:val="003057D0"/>
    <w:rsid w:val="00305AA7"/>
    <w:rsid w:val="00305AC8"/>
    <w:rsid w:val="0030636A"/>
    <w:rsid w:val="003106EB"/>
    <w:rsid w:val="0031075E"/>
    <w:rsid w:val="00310B79"/>
    <w:rsid w:val="00315024"/>
    <w:rsid w:val="003153AD"/>
    <w:rsid w:val="00315759"/>
    <w:rsid w:val="00315911"/>
    <w:rsid w:val="003165D8"/>
    <w:rsid w:val="003171AA"/>
    <w:rsid w:val="003178D8"/>
    <w:rsid w:val="00317A46"/>
    <w:rsid w:val="00320BCE"/>
    <w:rsid w:val="00320CE3"/>
    <w:rsid w:val="003237E4"/>
    <w:rsid w:val="003239A2"/>
    <w:rsid w:val="00323F27"/>
    <w:rsid w:val="00325926"/>
    <w:rsid w:val="00325E28"/>
    <w:rsid w:val="00325F80"/>
    <w:rsid w:val="00326CB9"/>
    <w:rsid w:val="00326DFD"/>
    <w:rsid w:val="00327A8A"/>
    <w:rsid w:val="00327CD8"/>
    <w:rsid w:val="00327D80"/>
    <w:rsid w:val="003301DD"/>
    <w:rsid w:val="00330BEA"/>
    <w:rsid w:val="003318C1"/>
    <w:rsid w:val="00331AC0"/>
    <w:rsid w:val="00331BBF"/>
    <w:rsid w:val="00331E0B"/>
    <w:rsid w:val="0033209D"/>
    <w:rsid w:val="00333E28"/>
    <w:rsid w:val="00334C79"/>
    <w:rsid w:val="00334F4D"/>
    <w:rsid w:val="00335A1E"/>
    <w:rsid w:val="003364DA"/>
    <w:rsid w:val="00336610"/>
    <w:rsid w:val="003379A3"/>
    <w:rsid w:val="00337B3C"/>
    <w:rsid w:val="00337D1F"/>
    <w:rsid w:val="00341164"/>
    <w:rsid w:val="0034171A"/>
    <w:rsid w:val="00341771"/>
    <w:rsid w:val="0034263B"/>
    <w:rsid w:val="0034371D"/>
    <w:rsid w:val="0034399B"/>
    <w:rsid w:val="00343F73"/>
    <w:rsid w:val="00344089"/>
    <w:rsid w:val="00345060"/>
    <w:rsid w:val="0034577D"/>
    <w:rsid w:val="00345E09"/>
    <w:rsid w:val="00346FE2"/>
    <w:rsid w:val="00347391"/>
    <w:rsid w:val="00347495"/>
    <w:rsid w:val="0034768B"/>
    <w:rsid w:val="00347BB4"/>
    <w:rsid w:val="00352260"/>
    <w:rsid w:val="003523BA"/>
    <w:rsid w:val="0035323B"/>
    <w:rsid w:val="0035344A"/>
    <w:rsid w:val="00355912"/>
    <w:rsid w:val="00356C24"/>
    <w:rsid w:val="00356D95"/>
    <w:rsid w:val="00356DA5"/>
    <w:rsid w:val="00356F1C"/>
    <w:rsid w:val="0036096C"/>
    <w:rsid w:val="003609D2"/>
    <w:rsid w:val="00360CA1"/>
    <w:rsid w:val="003621C5"/>
    <w:rsid w:val="003626E8"/>
    <w:rsid w:val="003633B0"/>
    <w:rsid w:val="0036384F"/>
    <w:rsid w:val="00363F22"/>
    <w:rsid w:val="003644C9"/>
    <w:rsid w:val="003648E7"/>
    <w:rsid w:val="00364B6C"/>
    <w:rsid w:val="00364CC1"/>
    <w:rsid w:val="00366BDD"/>
    <w:rsid w:val="00366FD8"/>
    <w:rsid w:val="0036758F"/>
    <w:rsid w:val="0036768F"/>
    <w:rsid w:val="00370D53"/>
    <w:rsid w:val="00371300"/>
    <w:rsid w:val="00372083"/>
    <w:rsid w:val="00372225"/>
    <w:rsid w:val="00373DD5"/>
    <w:rsid w:val="00374250"/>
    <w:rsid w:val="00374F0F"/>
    <w:rsid w:val="00375564"/>
    <w:rsid w:val="00376C94"/>
    <w:rsid w:val="00377923"/>
    <w:rsid w:val="00377D11"/>
    <w:rsid w:val="0038129E"/>
    <w:rsid w:val="00381EB2"/>
    <w:rsid w:val="00383191"/>
    <w:rsid w:val="003850A2"/>
    <w:rsid w:val="003856BB"/>
    <w:rsid w:val="00385F20"/>
    <w:rsid w:val="00386433"/>
    <w:rsid w:val="00386538"/>
    <w:rsid w:val="00386DED"/>
    <w:rsid w:val="00390261"/>
    <w:rsid w:val="003912E7"/>
    <w:rsid w:val="003918B6"/>
    <w:rsid w:val="0039296F"/>
    <w:rsid w:val="003935C5"/>
    <w:rsid w:val="00393947"/>
    <w:rsid w:val="0039446F"/>
    <w:rsid w:val="0039582E"/>
    <w:rsid w:val="00395E45"/>
    <w:rsid w:val="00395EE5"/>
    <w:rsid w:val="00397006"/>
    <w:rsid w:val="003A16C5"/>
    <w:rsid w:val="003A2275"/>
    <w:rsid w:val="003A2669"/>
    <w:rsid w:val="003A293C"/>
    <w:rsid w:val="003A2A25"/>
    <w:rsid w:val="003A3E50"/>
    <w:rsid w:val="003A4F40"/>
    <w:rsid w:val="003A5076"/>
    <w:rsid w:val="003A64AC"/>
    <w:rsid w:val="003A674D"/>
    <w:rsid w:val="003A69FB"/>
    <w:rsid w:val="003A6A4F"/>
    <w:rsid w:val="003A7088"/>
    <w:rsid w:val="003A7CA8"/>
    <w:rsid w:val="003B00DF"/>
    <w:rsid w:val="003B1185"/>
    <w:rsid w:val="003B1275"/>
    <w:rsid w:val="003B1778"/>
    <w:rsid w:val="003B3D7C"/>
    <w:rsid w:val="003B41A5"/>
    <w:rsid w:val="003B48CC"/>
    <w:rsid w:val="003B4B95"/>
    <w:rsid w:val="003B52F1"/>
    <w:rsid w:val="003B5B8E"/>
    <w:rsid w:val="003B688F"/>
    <w:rsid w:val="003B6891"/>
    <w:rsid w:val="003B68B1"/>
    <w:rsid w:val="003B763C"/>
    <w:rsid w:val="003B7A5D"/>
    <w:rsid w:val="003C022A"/>
    <w:rsid w:val="003C03E9"/>
    <w:rsid w:val="003C11CB"/>
    <w:rsid w:val="003C1820"/>
    <w:rsid w:val="003C2940"/>
    <w:rsid w:val="003C2DE8"/>
    <w:rsid w:val="003C32EF"/>
    <w:rsid w:val="003C360D"/>
    <w:rsid w:val="003C38CA"/>
    <w:rsid w:val="003C495A"/>
    <w:rsid w:val="003C4984"/>
    <w:rsid w:val="003C4A48"/>
    <w:rsid w:val="003C5F7B"/>
    <w:rsid w:val="003C70F2"/>
    <w:rsid w:val="003C75F3"/>
    <w:rsid w:val="003C78A3"/>
    <w:rsid w:val="003C7EBA"/>
    <w:rsid w:val="003D00AE"/>
    <w:rsid w:val="003D10A5"/>
    <w:rsid w:val="003D25D0"/>
    <w:rsid w:val="003D338E"/>
    <w:rsid w:val="003D3A19"/>
    <w:rsid w:val="003D3E8E"/>
    <w:rsid w:val="003D4698"/>
    <w:rsid w:val="003D62D4"/>
    <w:rsid w:val="003D66D7"/>
    <w:rsid w:val="003D6AA7"/>
    <w:rsid w:val="003D7D2E"/>
    <w:rsid w:val="003E05A9"/>
    <w:rsid w:val="003E0873"/>
    <w:rsid w:val="003E1867"/>
    <w:rsid w:val="003E197C"/>
    <w:rsid w:val="003E2257"/>
    <w:rsid w:val="003E251D"/>
    <w:rsid w:val="003E33A4"/>
    <w:rsid w:val="003E38A7"/>
    <w:rsid w:val="003E3D84"/>
    <w:rsid w:val="003E4094"/>
    <w:rsid w:val="003E4C9D"/>
    <w:rsid w:val="003E5729"/>
    <w:rsid w:val="003E5EE1"/>
    <w:rsid w:val="003E6140"/>
    <w:rsid w:val="003E6955"/>
    <w:rsid w:val="003E7B2D"/>
    <w:rsid w:val="003E7ED9"/>
    <w:rsid w:val="003F17CF"/>
    <w:rsid w:val="003F238E"/>
    <w:rsid w:val="003F271E"/>
    <w:rsid w:val="003F2BC6"/>
    <w:rsid w:val="003F2D4C"/>
    <w:rsid w:val="003F446E"/>
    <w:rsid w:val="003F4D73"/>
    <w:rsid w:val="003F4E65"/>
    <w:rsid w:val="003F4EE0"/>
    <w:rsid w:val="003F6D9A"/>
    <w:rsid w:val="003F6E6C"/>
    <w:rsid w:val="003F7303"/>
    <w:rsid w:val="003F73AC"/>
    <w:rsid w:val="003F7B2F"/>
    <w:rsid w:val="0040112A"/>
    <w:rsid w:val="00401FAF"/>
    <w:rsid w:val="00402153"/>
    <w:rsid w:val="00402AD0"/>
    <w:rsid w:val="00402FC1"/>
    <w:rsid w:val="00403DD5"/>
    <w:rsid w:val="0040437E"/>
    <w:rsid w:val="00405029"/>
    <w:rsid w:val="00406B39"/>
    <w:rsid w:val="004078BB"/>
    <w:rsid w:val="00411214"/>
    <w:rsid w:val="00412A6A"/>
    <w:rsid w:val="00413094"/>
    <w:rsid w:val="00413D15"/>
    <w:rsid w:val="004147A4"/>
    <w:rsid w:val="00414CBA"/>
    <w:rsid w:val="00415919"/>
    <w:rsid w:val="00415AE8"/>
    <w:rsid w:val="00415F60"/>
    <w:rsid w:val="0041617A"/>
    <w:rsid w:val="004164E1"/>
    <w:rsid w:val="0042023B"/>
    <w:rsid w:val="004203DD"/>
    <w:rsid w:val="00420947"/>
    <w:rsid w:val="004222AB"/>
    <w:rsid w:val="00422D55"/>
    <w:rsid w:val="00423038"/>
    <w:rsid w:val="004231E9"/>
    <w:rsid w:val="00425082"/>
    <w:rsid w:val="00425C2B"/>
    <w:rsid w:val="00425C65"/>
    <w:rsid w:val="004275C6"/>
    <w:rsid w:val="0043116D"/>
    <w:rsid w:val="00431C26"/>
    <w:rsid w:val="00431DEB"/>
    <w:rsid w:val="00432362"/>
    <w:rsid w:val="00432C8C"/>
    <w:rsid w:val="00433CF2"/>
    <w:rsid w:val="00433DA7"/>
    <w:rsid w:val="00434C51"/>
    <w:rsid w:val="00434EEA"/>
    <w:rsid w:val="00435E76"/>
    <w:rsid w:val="0043617D"/>
    <w:rsid w:val="0043654C"/>
    <w:rsid w:val="00437D8F"/>
    <w:rsid w:val="0044001A"/>
    <w:rsid w:val="00440131"/>
    <w:rsid w:val="00440A71"/>
    <w:rsid w:val="004421CE"/>
    <w:rsid w:val="00442A5C"/>
    <w:rsid w:val="00442D1B"/>
    <w:rsid w:val="00442D78"/>
    <w:rsid w:val="00443043"/>
    <w:rsid w:val="00443556"/>
    <w:rsid w:val="00443C36"/>
    <w:rsid w:val="00444895"/>
    <w:rsid w:val="00444D17"/>
    <w:rsid w:val="004455E2"/>
    <w:rsid w:val="004457C4"/>
    <w:rsid w:val="00445F80"/>
    <w:rsid w:val="00446641"/>
    <w:rsid w:val="00446B29"/>
    <w:rsid w:val="00447C64"/>
    <w:rsid w:val="00450C3A"/>
    <w:rsid w:val="00452113"/>
    <w:rsid w:val="004536B7"/>
    <w:rsid w:val="00453F9A"/>
    <w:rsid w:val="0045408B"/>
    <w:rsid w:val="004546C9"/>
    <w:rsid w:val="0045476F"/>
    <w:rsid w:val="00456450"/>
    <w:rsid w:val="00456D27"/>
    <w:rsid w:val="00457625"/>
    <w:rsid w:val="00457C7C"/>
    <w:rsid w:val="004608DE"/>
    <w:rsid w:val="00460BF8"/>
    <w:rsid w:val="004613B4"/>
    <w:rsid w:val="004614EE"/>
    <w:rsid w:val="0046193C"/>
    <w:rsid w:val="00461D1F"/>
    <w:rsid w:val="00464D42"/>
    <w:rsid w:val="004653AA"/>
    <w:rsid w:val="00465483"/>
    <w:rsid w:val="00465B7F"/>
    <w:rsid w:val="00465CCA"/>
    <w:rsid w:val="00465F69"/>
    <w:rsid w:val="00466614"/>
    <w:rsid w:val="00466B89"/>
    <w:rsid w:val="004671E2"/>
    <w:rsid w:val="004676EC"/>
    <w:rsid w:val="00470504"/>
    <w:rsid w:val="0047191A"/>
    <w:rsid w:val="00471E91"/>
    <w:rsid w:val="004729B8"/>
    <w:rsid w:val="004729C9"/>
    <w:rsid w:val="00473DF2"/>
    <w:rsid w:val="00474675"/>
    <w:rsid w:val="0047470C"/>
    <w:rsid w:val="00474E6C"/>
    <w:rsid w:val="00474F5A"/>
    <w:rsid w:val="0048087E"/>
    <w:rsid w:val="004817F7"/>
    <w:rsid w:val="00481BEA"/>
    <w:rsid w:val="0048230A"/>
    <w:rsid w:val="004826F4"/>
    <w:rsid w:val="00482839"/>
    <w:rsid w:val="00482AF6"/>
    <w:rsid w:val="00483F73"/>
    <w:rsid w:val="00484B1E"/>
    <w:rsid w:val="00484DDC"/>
    <w:rsid w:val="004852D6"/>
    <w:rsid w:val="00485A83"/>
    <w:rsid w:val="00485C16"/>
    <w:rsid w:val="0048651E"/>
    <w:rsid w:val="0048675E"/>
    <w:rsid w:val="00487607"/>
    <w:rsid w:val="00492BCE"/>
    <w:rsid w:val="004931F0"/>
    <w:rsid w:val="00493436"/>
    <w:rsid w:val="004959B3"/>
    <w:rsid w:val="00495C31"/>
    <w:rsid w:val="004972A1"/>
    <w:rsid w:val="004A0437"/>
    <w:rsid w:val="004A2303"/>
    <w:rsid w:val="004A35B3"/>
    <w:rsid w:val="004A35F9"/>
    <w:rsid w:val="004A3C7F"/>
    <w:rsid w:val="004A44E4"/>
    <w:rsid w:val="004A45DB"/>
    <w:rsid w:val="004A51F3"/>
    <w:rsid w:val="004A5469"/>
    <w:rsid w:val="004A552F"/>
    <w:rsid w:val="004A5B47"/>
    <w:rsid w:val="004A7C50"/>
    <w:rsid w:val="004B14A7"/>
    <w:rsid w:val="004B16D6"/>
    <w:rsid w:val="004B228D"/>
    <w:rsid w:val="004B24C1"/>
    <w:rsid w:val="004B2A2D"/>
    <w:rsid w:val="004B2AB0"/>
    <w:rsid w:val="004B39AC"/>
    <w:rsid w:val="004B4091"/>
    <w:rsid w:val="004B4870"/>
    <w:rsid w:val="004B4D54"/>
    <w:rsid w:val="004B5169"/>
    <w:rsid w:val="004B61AB"/>
    <w:rsid w:val="004B62DC"/>
    <w:rsid w:val="004B6577"/>
    <w:rsid w:val="004B6D9F"/>
    <w:rsid w:val="004C0657"/>
    <w:rsid w:val="004C103F"/>
    <w:rsid w:val="004C11FC"/>
    <w:rsid w:val="004C1243"/>
    <w:rsid w:val="004C26E9"/>
    <w:rsid w:val="004C292F"/>
    <w:rsid w:val="004C29A3"/>
    <w:rsid w:val="004C3063"/>
    <w:rsid w:val="004C3328"/>
    <w:rsid w:val="004C3483"/>
    <w:rsid w:val="004C42C8"/>
    <w:rsid w:val="004C4DC7"/>
    <w:rsid w:val="004C4DFF"/>
    <w:rsid w:val="004C505F"/>
    <w:rsid w:val="004C53BC"/>
    <w:rsid w:val="004C54FF"/>
    <w:rsid w:val="004C5BD2"/>
    <w:rsid w:val="004C5FF4"/>
    <w:rsid w:val="004C6774"/>
    <w:rsid w:val="004D1284"/>
    <w:rsid w:val="004D136B"/>
    <w:rsid w:val="004D1A04"/>
    <w:rsid w:val="004D1FBD"/>
    <w:rsid w:val="004D276B"/>
    <w:rsid w:val="004D35C6"/>
    <w:rsid w:val="004D4F2C"/>
    <w:rsid w:val="004D67C7"/>
    <w:rsid w:val="004D6BCA"/>
    <w:rsid w:val="004D7B71"/>
    <w:rsid w:val="004E057C"/>
    <w:rsid w:val="004E18F4"/>
    <w:rsid w:val="004E1989"/>
    <w:rsid w:val="004E1A96"/>
    <w:rsid w:val="004E1E02"/>
    <w:rsid w:val="004E2E74"/>
    <w:rsid w:val="004E39FE"/>
    <w:rsid w:val="004E56FA"/>
    <w:rsid w:val="004E5A95"/>
    <w:rsid w:val="004E5AB0"/>
    <w:rsid w:val="004E5C93"/>
    <w:rsid w:val="004E5CEF"/>
    <w:rsid w:val="004F0417"/>
    <w:rsid w:val="004F0689"/>
    <w:rsid w:val="004F0DE4"/>
    <w:rsid w:val="004F0F69"/>
    <w:rsid w:val="004F1724"/>
    <w:rsid w:val="004F2358"/>
    <w:rsid w:val="004F257F"/>
    <w:rsid w:val="004F27E8"/>
    <w:rsid w:val="004F40DA"/>
    <w:rsid w:val="004F49C0"/>
    <w:rsid w:val="004F4E4E"/>
    <w:rsid w:val="004F5042"/>
    <w:rsid w:val="004F519A"/>
    <w:rsid w:val="004F5505"/>
    <w:rsid w:val="004F6034"/>
    <w:rsid w:val="004F6869"/>
    <w:rsid w:val="004F71EB"/>
    <w:rsid w:val="004F78D4"/>
    <w:rsid w:val="004F7921"/>
    <w:rsid w:val="00500A34"/>
    <w:rsid w:val="00501380"/>
    <w:rsid w:val="0050152B"/>
    <w:rsid w:val="00501B94"/>
    <w:rsid w:val="00501F45"/>
    <w:rsid w:val="00502E16"/>
    <w:rsid w:val="00502EEB"/>
    <w:rsid w:val="00503005"/>
    <w:rsid w:val="0050319B"/>
    <w:rsid w:val="00504584"/>
    <w:rsid w:val="00504682"/>
    <w:rsid w:val="00504CB9"/>
    <w:rsid w:val="0050559D"/>
    <w:rsid w:val="00506AEA"/>
    <w:rsid w:val="00506CD2"/>
    <w:rsid w:val="0051008A"/>
    <w:rsid w:val="00510280"/>
    <w:rsid w:val="00510A01"/>
    <w:rsid w:val="00511554"/>
    <w:rsid w:val="00511934"/>
    <w:rsid w:val="005119C3"/>
    <w:rsid w:val="0051240C"/>
    <w:rsid w:val="00513BCF"/>
    <w:rsid w:val="00513D73"/>
    <w:rsid w:val="00513EC5"/>
    <w:rsid w:val="0051419D"/>
    <w:rsid w:val="00514A43"/>
    <w:rsid w:val="00514C49"/>
    <w:rsid w:val="005152A6"/>
    <w:rsid w:val="005153EE"/>
    <w:rsid w:val="0051638B"/>
    <w:rsid w:val="005163F3"/>
    <w:rsid w:val="005167A8"/>
    <w:rsid w:val="00516F2C"/>
    <w:rsid w:val="005174E5"/>
    <w:rsid w:val="00517FF6"/>
    <w:rsid w:val="00520556"/>
    <w:rsid w:val="00521DB5"/>
    <w:rsid w:val="00522393"/>
    <w:rsid w:val="00522620"/>
    <w:rsid w:val="0052270E"/>
    <w:rsid w:val="005249AB"/>
    <w:rsid w:val="00524ED1"/>
    <w:rsid w:val="00525387"/>
    <w:rsid w:val="00525656"/>
    <w:rsid w:val="00525945"/>
    <w:rsid w:val="00525E9C"/>
    <w:rsid w:val="00526820"/>
    <w:rsid w:val="00526B81"/>
    <w:rsid w:val="00526BB6"/>
    <w:rsid w:val="00526C8A"/>
    <w:rsid w:val="00526F0D"/>
    <w:rsid w:val="00527CFA"/>
    <w:rsid w:val="005303AB"/>
    <w:rsid w:val="0053196F"/>
    <w:rsid w:val="00531D47"/>
    <w:rsid w:val="005338D5"/>
    <w:rsid w:val="00534C02"/>
    <w:rsid w:val="00536857"/>
    <w:rsid w:val="00536B94"/>
    <w:rsid w:val="00540313"/>
    <w:rsid w:val="00541CE9"/>
    <w:rsid w:val="00541F86"/>
    <w:rsid w:val="005421C6"/>
    <w:rsid w:val="00542545"/>
    <w:rsid w:val="0054264B"/>
    <w:rsid w:val="00543028"/>
    <w:rsid w:val="0054325D"/>
    <w:rsid w:val="00543786"/>
    <w:rsid w:val="00543976"/>
    <w:rsid w:val="00546389"/>
    <w:rsid w:val="005467E1"/>
    <w:rsid w:val="0054762B"/>
    <w:rsid w:val="00547701"/>
    <w:rsid w:val="00547B3E"/>
    <w:rsid w:val="00547E50"/>
    <w:rsid w:val="005501F1"/>
    <w:rsid w:val="00550430"/>
    <w:rsid w:val="00550AA2"/>
    <w:rsid w:val="00551F36"/>
    <w:rsid w:val="00552605"/>
    <w:rsid w:val="0055283B"/>
    <w:rsid w:val="005533D7"/>
    <w:rsid w:val="00555FC1"/>
    <w:rsid w:val="00556670"/>
    <w:rsid w:val="00557FB4"/>
    <w:rsid w:val="00560505"/>
    <w:rsid w:val="00561BF9"/>
    <w:rsid w:val="00561F92"/>
    <w:rsid w:val="005625CD"/>
    <w:rsid w:val="005627E3"/>
    <w:rsid w:val="00565200"/>
    <w:rsid w:val="005703DE"/>
    <w:rsid w:val="005705C8"/>
    <w:rsid w:val="005709D0"/>
    <w:rsid w:val="00571F18"/>
    <w:rsid w:val="00571F25"/>
    <w:rsid w:val="00573320"/>
    <w:rsid w:val="00576387"/>
    <w:rsid w:val="00576778"/>
    <w:rsid w:val="005772DC"/>
    <w:rsid w:val="00577823"/>
    <w:rsid w:val="0058077D"/>
    <w:rsid w:val="00580A4D"/>
    <w:rsid w:val="00581A56"/>
    <w:rsid w:val="00581FF8"/>
    <w:rsid w:val="005822B0"/>
    <w:rsid w:val="00582CCF"/>
    <w:rsid w:val="005835E8"/>
    <w:rsid w:val="005838E6"/>
    <w:rsid w:val="0058464E"/>
    <w:rsid w:val="0058474F"/>
    <w:rsid w:val="00584ACC"/>
    <w:rsid w:val="00584BF7"/>
    <w:rsid w:val="00586364"/>
    <w:rsid w:val="005863DF"/>
    <w:rsid w:val="0058649C"/>
    <w:rsid w:val="00586855"/>
    <w:rsid w:val="00586DE1"/>
    <w:rsid w:val="00590829"/>
    <w:rsid w:val="005915AA"/>
    <w:rsid w:val="00592633"/>
    <w:rsid w:val="0059381D"/>
    <w:rsid w:val="00593E2F"/>
    <w:rsid w:val="00594253"/>
    <w:rsid w:val="00594366"/>
    <w:rsid w:val="005972D1"/>
    <w:rsid w:val="00597609"/>
    <w:rsid w:val="005976D8"/>
    <w:rsid w:val="0059775F"/>
    <w:rsid w:val="00597AE2"/>
    <w:rsid w:val="00597BE1"/>
    <w:rsid w:val="005A0182"/>
    <w:rsid w:val="005A01CB"/>
    <w:rsid w:val="005A08C1"/>
    <w:rsid w:val="005A14FB"/>
    <w:rsid w:val="005A25CA"/>
    <w:rsid w:val="005A2E21"/>
    <w:rsid w:val="005A3E28"/>
    <w:rsid w:val="005A3E9A"/>
    <w:rsid w:val="005A453B"/>
    <w:rsid w:val="005A4F3B"/>
    <w:rsid w:val="005A5026"/>
    <w:rsid w:val="005A58FF"/>
    <w:rsid w:val="005A5EAF"/>
    <w:rsid w:val="005A64C0"/>
    <w:rsid w:val="005A68AF"/>
    <w:rsid w:val="005A6EFD"/>
    <w:rsid w:val="005A6F12"/>
    <w:rsid w:val="005A7A05"/>
    <w:rsid w:val="005A7D64"/>
    <w:rsid w:val="005A7FC2"/>
    <w:rsid w:val="005B0B98"/>
    <w:rsid w:val="005B107A"/>
    <w:rsid w:val="005B12FF"/>
    <w:rsid w:val="005B1599"/>
    <w:rsid w:val="005B31A9"/>
    <w:rsid w:val="005B3392"/>
    <w:rsid w:val="005B352F"/>
    <w:rsid w:val="005B3C11"/>
    <w:rsid w:val="005B3EE8"/>
    <w:rsid w:val="005B4046"/>
    <w:rsid w:val="005B4C4D"/>
    <w:rsid w:val="005B6124"/>
    <w:rsid w:val="005B6DC5"/>
    <w:rsid w:val="005C0F51"/>
    <w:rsid w:val="005C12D1"/>
    <w:rsid w:val="005C1719"/>
    <w:rsid w:val="005C1785"/>
    <w:rsid w:val="005C1917"/>
    <w:rsid w:val="005C1C28"/>
    <w:rsid w:val="005C1C5E"/>
    <w:rsid w:val="005C22DA"/>
    <w:rsid w:val="005C24C8"/>
    <w:rsid w:val="005C26E8"/>
    <w:rsid w:val="005C3354"/>
    <w:rsid w:val="005C4475"/>
    <w:rsid w:val="005C4818"/>
    <w:rsid w:val="005C4D89"/>
    <w:rsid w:val="005C530E"/>
    <w:rsid w:val="005C536A"/>
    <w:rsid w:val="005C59C5"/>
    <w:rsid w:val="005C5EF7"/>
    <w:rsid w:val="005C6DB5"/>
    <w:rsid w:val="005C6EA6"/>
    <w:rsid w:val="005C7094"/>
    <w:rsid w:val="005D0EB8"/>
    <w:rsid w:val="005D10BA"/>
    <w:rsid w:val="005D1BF0"/>
    <w:rsid w:val="005D41C5"/>
    <w:rsid w:val="005D4928"/>
    <w:rsid w:val="005D4C2B"/>
    <w:rsid w:val="005D5433"/>
    <w:rsid w:val="005D5CC3"/>
    <w:rsid w:val="005D5F39"/>
    <w:rsid w:val="005D61BC"/>
    <w:rsid w:val="005D6D41"/>
    <w:rsid w:val="005D7AFF"/>
    <w:rsid w:val="005E04F6"/>
    <w:rsid w:val="005E0847"/>
    <w:rsid w:val="005E19E7"/>
    <w:rsid w:val="005E1C53"/>
    <w:rsid w:val="005E1C7B"/>
    <w:rsid w:val="005E21BF"/>
    <w:rsid w:val="005E2F46"/>
    <w:rsid w:val="005E3AC2"/>
    <w:rsid w:val="005E4502"/>
    <w:rsid w:val="005E4AAC"/>
    <w:rsid w:val="005E577C"/>
    <w:rsid w:val="005E7187"/>
    <w:rsid w:val="005F07C7"/>
    <w:rsid w:val="005F1395"/>
    <w:rsid w:val="005F16C5"/>
    <w:rsid w:val="005F2CAA"/>
    <w:rsid w:val="005F3201"/>
    <w:rsid w:val="005F5CB2"/>
    <w:rsid w:val="005F757B"/>
    <w:rsid w:val="0060006A"/>
    <w:rsid w:val="006006A3"/>
    <w:rsid w:val="00600780"/>
    <w:rsid w:val="00601799"/>
    <w:rsid w:val="00601FCF"/>
    <w:rsid w:val="006028A6"/>
    <w:rsid w:val="006029A9"/>
    <w:rsid w:val="00602D7F"/>
    <w:rsid w:val="00603288"/>
    <w:rsid w:val="00604DB2"/>
    <w:rsid w:val="006057C3"/>
    <w:rsid w:val="006057DE"/>
    <w:rsid w:val="00606095"/>
    <w:rsid w:val="006064A4"/>
    <w:rsid w:val="00606899"/>
    <w:rsid w:val="00607A5A"/>
    <w:rsid w:val="00607F77"/>
    <w:rsid w:val="006106AA"/>
    <w:rsid w:val="006107AB"/>
    <w:rsid w:val="00610E91"/>
    <w:rsid w:val="00611CFE"/>
    <w:rsid w:val="0061277E"/>
    <w:rsid w:val="006130E5"/>
    <w:rsid w:val="00614E66"/>
    <w:rsid w:val="00616320"/>
    <w:rsid w:val="0061716C"/>
    <w:rsid w:val="006179F6"/>
    <w:rsid w:val="00617DB3"/>
    <w:rsid w:val="00617E6B"/>
    <w:rsid w:val="006208BB"/>
    <w:rsid w:val="00621A19"/>
    <w:rsid w:val="00622338"/>
    <w:rsid w:val="00622DDA"/>
    <w:rsid w:val="006234D3"/>
    <w:rsid w:val="00623598"/>
    <w:rsid w:val="00623AB3"/>
    <w:rsid w:val="00623B91"/>
    <w:rsid w:val="00623CDD"/>
    <w:rsid w:val="006243A1"/>
    <w:rsid w:val="00625F3A"/>
    <w:rsid w:val="00626AE0"/>
    <w:rsid w:val="006271AA"/>
    <w:rsid w:val="0062753B"/>
    <w:rsid w:val="00630C12"/>
    <w:rsid w:val="00630F60"/>
    <w:rsid w:val="00632603"/>
    <w:rsid w:val="006326FA"/>
    <w:rsid w:val="00632E56"/>
    <w:rsid w:val="006335B4"/>
    <w:rsid w:val="006336EA"/>
    <w:rsid w:val="00633A43"/>
    <w:rsid w:val="00633F69"/>
    <w:rsid w:val="00634DED"/>
    <w:rsid w:val="00635061"/>
    <w:rsid w:val="00635C95"/>
    <w:rsid w:val="00635CBA"/>
    <w:rsid w:val="006360B3"/>
    <w:rsid w:val="0063675B"/>
    <w:rsid w:val="006368B0"/>
    <w:rsid w:val="00636F96"/>
    <w:rsid w:val="00637ACD"/>
    <w:rsid w:val="00640A2C"/>
    <w:rsid w:val="006419D0"/>
    <w:rsid w:val="006421F1"/>
    <w:rsid w:val="0064299C"/>
    <w:rsid w:val="00642DF1"/>
    <w:rsid w:val="0064338B"/>
    <w:rsid w:val="00643440"/>
    <w:rsid w:val="0064557E"/>
    <w:rsid w:val="00646417"/>
    <w:rsid w:val="00646542"/>
    <w:rsid w:val="00646F5D"/>
    <w:rsid w:val="0064721F"/>
    <w:rsid w:val="00647B2F"/>
    <w:rsid w:val="006504F4"/>
    <w:rsid w:val="00652875"/>
    <w:rsid w:val="00652C6E"/>
    <w:rsid w:val="0065381D"/>
    <w:rsid w:val="006539C8"/>
    <w:rsid w:val="00653D82"/>
    <w:rsid w:val="00654BC9"/>
    <w:rsid w:val="006552FD"/>
    <w:rsid w:val="006554C3"/>
    <w:rsid w:val="006556FC"/>
    <w:rsid w:val="006559B8"/>
    <w:rsid w:val="00656898"/>
    <w:rsid w:val="00656E99"/>
    <w:rsid w:val="00660501"/>
    <w:rsid w:val="00660617"/>
    <w:rsid w:val="006620CF"/>
    <w:rsid w:val="0066312A"/>
    <w:rsid w:val="00663878"/>
    <w:rsid w:val="00663AF3"/>
    <w:rsid w:val="00663BAD"/>
    <w:rsid w:val="00664E87"/>
    <w:rsid w:val="00665100"/>
    <w:rsid w:val="00665FF5"/>
    <w:rsid w:val="006664F5"/>
    <w:rsid w:val="00666B6C"/>
    <w:rsid w:val="00667A0B"/>
    <w:rsid w:val="00667F60"/>
    <w:rsid w:val="006701FE"/>
    <w:rsid w:val="0067247B"/>
    <w:rsid w:val="00672ECE"/>
    <w:rsid w:val="0067460C"/>
    <w:rsid w:val="006751BF"/>
    <w:rsid w:val="006756EF"/>
    <w:rsid w:val="00677177"/>
    <w:rsid w:val="00677673"/>
    <w:rsid w:val="0068076D"/>
    <w:rsid w:val="00680883"/>
    <w:rsid w:val="00682682"/>
    <w:rsid w:val="00682702"/>
    <w:rsid w:val="00682B9B"/>
    <w:rsid w:val="006835FB"/>
    <w:rsid w:val="006842ED"/>
    <w:rsid w:val="00684BB8"/>
    <w:rsid w:val="00685263"/>
    <w:rsid w:val="006858D7"/>
    <w:rsid w:val="00686CA7"/>
    <w:rsid w:val="00691890"/>
    <w:rsid w:val="00692368"/>
    <w:rsid w:val="00693119"/>
    <w:rsid w:val="006933E5"/>
    <w:rsid w:val="00693515"/>
    <w:rsid w:val="00693ABE"/>
    <w:rsid w:val="00693C8A"/>
    <w:rsid w:val="00693E91"/>
    <w:rsid w:val="00694CAF"/>
    <w:rsid w:val="00696452"/>
    <w:rsid w:val="00696D73"/>
    <w:rsid w:val="006970F0"/>
    <w:rsid w:val="0069776E"/>
    <w:rsid w:val="006A19ED"/>
    <w:rsid w:val="006A2BE4"/>
    <w:rsid w:val="006A2EBC"/>
    <w:rsid w:val="006A3DA5"/>
    <w:rsid w:val="006A4B48"/>
    <w:rsid w:val="006A50FE"/>
    <w:rsid w:val="006A5EA0"/>
    <w:rsid w:val="006A65B0"/>
    <w:rsid w:val="006A74A7"/>
    <w:rsid w:val="006A783B"/>
    <w:rsid w:val="006A7925"/>
    <w:rsid w:val="006A7B33"/>
    <w:rsid w:val="006B1153"/>
    <w:rsid w:val="006B12C5"/>
    <w:rsid w:val="006B219F"/>
    <w:rsid w:val="006B4E13"/>
    <w:rsid w:val="006B4E15"/>
    <w:rsid w:val="006B5299"/>
    <w:rsid w:val="006B670E"/>
    <w:rsid w:val="006B678E"/>
    <w:rsid w:val="006B69F4"/>
    <w:rsid w:val="006B75DD"/>
    <w:rsid w:val="006B7B1E"/>
    <w:rsid w:val="006B7B5B"/>
    <w:rsid w:val="006B7CEB"/>
    <w:rsid w:val="006C0CC1"/>
    <w:rsid w:val="006C176F"/>
    <w:rsid w:val="006C3471"/>
    <w:rsid w:val="006C3E57"/>
    <w:rsid w:val="006C49A0"/>
    <w:rsid w:val="006C6062"/>
    <w:rsid w:val="006C662A"/>
    <w:rsid w:val="006C6731"/>
    <w:rsid w:val="006C67E0"/>
    <w:rsid w:val="006C7008"/>
    <w:rsid w:val="006C7ABA"/>
    <w:rsid w:val="006C7BE9"/>
    <w:rsid w:val="006D0A04"/>
    <w:rsid w:val="006D0B06"/>
    <w:rsid w:val="006D0D60"/>
    <w:rsid w:val="006D1122"/>
    <w:rsid w:val="006D22CE"/>
    <w:rsid w:val="006D3738"/>
    <w:rsid w:val="006D3A25"/>
    <w:rsid w:val="006D3B31"/>
    <w:rsid w:val="006D3C00"/>
    <w:rsid w:val="006D3FF6"/>
    <w:rsid w:val="006D448D"/>
    <w:rsid w:val="006D55ED"/>
    <w:rsid w:val="006E079A"/>
    <w:rsid w:val="006E0B8C"/>
    <w:rsid w:val="006E0E08"/>
    <w:rsid w:val="006E15BB"/>
    <w:rsid w:val="006E2497"/>
    <w:rsid w:val="006E279B"/>
    <w:rsid w:val="006E299B"/>
    <w:rsid w:val="006E3675"/>
    <w:rsid w:val="006E39DE"/>
    <w:rsid w:val="006E4A7F"/>
    <w:rsid w:val="006E53F5"/>
    <w:rsid w:val="006E568B"/>
    <w:rsid w:val="006E5E3F"/>
    <w:rsid w:val="006E60D1"/>
    <w:rsid w:val="006E6730"/>
    <w:rsid w:val="006E6C38"/>
    <w:rsid w:val="006E71C4"/>
    <w:rsid w:val="006E7686"/>
    <w:rsid w:val="006E783D"/>
    <w:rsid w:val="006E7B22"/>
    <w:rsid w:val="006E7F0D"/>
    <w:rsid w:val="006F1354"/>
    <w:rsid w:val="006F17EA"/>
    <w:rsid w:val="006F1F62"/>
    <w:rsid w:val="006F2BC1"/>
    <w:rsid w:val="006F4538"/>
    <w:rsid w:val="006F45DD"/>
    <w:rsid w:val="006F5969"/>
    <w:rsid w:val="006F5EB5"/>
    <w:rsid w:val="006F66CA"/>
    <w:rsid w:val="006F6963"/>
    <w:rsid w:val="006F6B97"/>
    <w:rsid w:val="006F6F88"/>
    <w:rsid w:val="006F70CB"/>
    <w:rsid w:val="006F79A3"/>
    <w:rsid w:val="006F79F8"/>
    <w:rsid w:val="006F7CFF"/>
    <w:rsid w:val="0070173E"/>
    <w:rsid w:val="00701786"/>
    <w:rsid w:val="00702838"/>
    <w:rsid w:val="00702EFF"/>
    <w:rsid w:val="0070316C"/>
    <w:rsid w:val="0070340B"/>
    <w:rsid w:val="007036FA"/>
    <w:rsid w:val="00703737"/>
    <w:rsid w:val="00704677"/>
    <w:rsid w:val="007048E6"/>
    <w:rsid w:val="00704D4B"/>
    <w:rsid w:val="00704DF6"/>
    <w:rsid w:val="007050E1"/>
    <w:rsid w:val="0070515C"/>
    <w:rsid w:val="0070552F"/>
    <w:rsid w:val="0070651C"/>
    <w:rsid w:val="00706635"/>
    <w:rsid w:val="0070675D"/>
    <w:rsid w:val="007101F3"/>
    <w:rsid w:val="007105ED"/>
    <w:rsid w:val="00710750"/>
    <w:rsid w:val="007108B7"/>
    <w:rsid w:val="00711A19"/>
    <w:rsid w:val="00713086"/>
    <w:rsid w:val="007132A3"/>
    <w:rsid w:val="0071391E"/>
    <w:rsid w:val="0071412A"/>
    <w:rsid w:val="00715840"/>
    <w:rsid w:val="00715A4D"/>
    <w:rsid w:val="00715D47"/>
    <w:rsid w:val="00715E15"/>
    <w:rsid w:val="00716421"/>
    <w:rsid w:val="00716B4D"/>
    <w:rsid w:val="00717602"/>
    <w:rsid w:val="00717E72"/>
    <w:rsid w:val="007219FB"/>
    <w:rsid w:val="00721B92"/>
    <w:rsid w:val="00722517"/>
    <w:rsid w:val="00722726"/>
    <w:rsid w:val="007234B0"/>
    <w:rsid w:val="007243BC"/>
    <w:rsid w:val="00724571"/>
    <w:rsid w:val="00724AA1"/>
    <w:rsid w:val="00724EFB"/>
    <w:rsid w:val="0072547D"/>
    <w:rsid w:val="00725491"/>
    <w:rsid w:val="00725A2B"/>
    <w:rsid w:val="00726737"/>
    <w:rsid w:val="00726D73"/>
    <w:rsid w:val="007272EF"/>
    <w:rsid w:val="007306E7"/>
    <w:rsid w:val="007326D7"/>
    <w:rsid w:val="00732F72"/>
    <w:rsid w:val="007332A3"/>
    <w:rsid w:val="00733A27"/>
    <w:rsid w:val="00733A4C"/>
    <w:rsid w:val="007343E5"/>
    <w:rsid w:val="00735A0E"/>
    <w:rsid w:val="00736ABA"/>
    <w:rsid w:val="007379F0"/>
    <w:rsid w:val="00740545"/>
    <w:rsid w:val="007419C3"/>
    <w:rsid w:val="00741DE1"/>
    <w:rsid w:val="007420FB"/>
    <w:rsid w:val="007421B7"/>
    <w:rsid w:val="00743770"/>
    <w:rsid w:val="00745058"/>
    <w:rsid w:val="007467A7"/>
    <w:rsid w:val="007469DD"/>
    <w:rsid w:val="00746C9C"/>
    <w:rsid w:val="0074741B"/>
    <w:rsid w:val="0074759E"/>
    <w:rsid w:val="007478EA"/>
    <w:rsid w:val="00750AA6"/>
    <w:rsid w:val="00750D68"/>
    <w:rsid w:val="0075150D"/>
    <w:rsid w:val="00752345"/>
    <w:rsid w:val="007524FC"/>
    <w:rsid w:val="00753468"/>
    <w:rsid w:val="00753B27"/>
    <w:rsid w:val="0075415C"/>
    <w:rsid w:val="007553C4"/>
    <w:rsid w:val="00755D10"/>
    <w:rsid w:val="00755F33"/>
    <w:rsid w:val="0075633C"/>
    <w:rsid w:val="00756A70"/>
    <w:rsid w:val="0076012D"/>
    <w:rsid w:val="0076053B"/>
    <w:rsid w:val="00761029"/>
    <w:rsid w:val="00761F62"/>
    <w:rsid w:val="00762A30"/>
    <w:rsid w:val="0076347A"/>
    <w:rsid w:val="00763502"/>
    <w:rsid w:val="007637FC"/>
    <w:rsid w:val="00763933"/>
    <w:rsid w:val="0076451A"/>
    <w:rsid w:val="007658D9"/>
    <w:rsid w:val="00766F69"/>
    <w:rsid w:val="00767EE8"/>
    <w:rsid w:val="007703F5"/>
    <w:rsid w:val="0077079A"/>
    <w:rsid w:val="007731CD"/>
    <w:rsid w:val="00773670"/>
    <w:rsid w:val="007736C9"/>
    <w:rsid w:val="007747E3"/>
    <w:rsid w:val="00774870"/>
    <w:rsid w:val="00775403"/>
    <w:rsid w:val="00775C64"/>
    <w:rsid w:val="00775CFD"/>
    <w:rsid w:val="0077676E"/>
    <w:rsid w:val="00776AF7"/>
    <w:rsid w:val="00776BF3"/>
    <w:rsid w:val="00776FFF"/>
    <w:rsid w:val="007818A9"/>
    <w:rsid w:val="00781B1B"/>
    <w:rsid w:val="007823E2"/>
    <w:rsid w:val="00782630"/>
    <w:rsid w:val="00782D89"/>
    <w:rsid w:val="0078346D"/>
    <w:rsid w:val="00783A38"/>
    <w:rsid w:val="00785611"/>
    <w:rsid w:val="00785B54"/>
    <w:rsid w:val="007863DE"/>
    <w:rsid w:val="00786DC6"/>
    <w:rsid w:val="0078733A"/>
    <w:rsid w:val="007875AA"/>
    <w:rsid w:val="00787C6B"/>
    <w:rsid w:val="00787D37"/>
    <w:rsid w:val="0079084E"/>
    <w:rsid w:val="00790D33"/>
    <w:rsid w:val="0079110D"/>
    <w:rsid w:val="007913AB"/>
    <w:rsid w:val="007914F7"/>
    <w:rsid w:val="007915F3"/>
    <w:rsid w:val="00791E99"/>
    <w:rsid w:val="00792B53"/>
    <w:rsid w:val="00794339"/>
    <w:rsid w:val="007943D2"/>
    <w:rsid w:val="0079502E"/>
    <w:rsid w:val="00795142"/>
    <w:rsid w:val="00796957"/>
    <w:rsid w:val="00796FB5"/>
    <w:rsid w:val="00797949"/>
    <w:rsid w:val="007A01BB"/>
    <w:rsid w:val="007A0981"/>
    <w:rsid w:val="007A0FC9"/>
    <w:rsid w:val="007A14A8"/>
    <w:rsid w:val="007A1BD7"/>
    <w:rsid w:val="007A2DC2"/>
    <w:rsid w:val="007A45C4"/>
    <w:rsid w:val="007A5A2B"/>
    <w:rsid w:val="007A5AAA"/>
    <w:rsid w:val="007A5BB2"/>
    <w:rsid w:val="007A6562"/>
    <w:rsid w:val="007A6AA6"/>
    <w:rsid w:val="007A6AC8"/>
    <w:rsid w:val="007A778C"/>
    <w:rsid w:val="007A7C50"/>
    <w:rsid w:val="007B0056"/>
    <w:rsid w:val="007B05C9"/>
    <w:rsid w:val="007B05E5"/>
    <w:rsid w:val="007B0E90"/>
    <w:rsid w:val="007B1625"/>
    <w:rsid w:val="007B19CF"/>
    <w:rsid w:val="007B1A5B"/>
    <w:rsid w:val="007B2441"/>
    <w:rsid w:val="007B24E2"/>
    <w:rsid w:val="007B2F4F"/>
    <w:rsid w:val="007B348D"/>
    <w:rsid w:val="007B51E7"/>
    <w:rsid w:val="007B568A"/>
    <w:rsid w:val="007B66AE"/>
    <w:rsid w:val="007B6832"/>
    <w:rsid w:val="007B6B6C"/>
    <w:rsid w:val="007B706E"/>
    <w:rsid w:val="007B71EB"/>
    <w:rsid w:val="007C0CB4"/>
    <w:rsid w:val="007C1257"/>
    <w:rsid w:val="007C147D"/>
    <w:rsid w:val="007C2344"/>
    <w:rsid w:val="007C2650"/>
    <w:rsid w:val="007C282B"/>
    <w:rsid w:val="007C299E"/>
    <w:rsid w:val="007C3EF9"/>
    <w:rsid w:val="007C4458"/>
    <w:rsid w:val="007C6205"/>
    <w:rsid w:val="007C660B"/>
    <w:rsid w:val="007C664C"/>
    <w:rsid w:val="007C686A"/>
    <w:rsid w:val="007C728E"/>
    <w:rsid w:val="007C7F4A"/>
    <w:rsid w:val="007D1874"/>
    <w:rsid w:val="007D21CF"/>
    <w:rsid w:val="007D2987"/>
    <w:rsid w:val="007D2C53"/>
    <w:rsid w:val="007D33C1"/>
    <w:rsid w:val="007D3D60"/>
    <w:rsid w:val="007D4198"/>
    <w:rsid w:val="007D67F2"/>
    <w:rsid w:val="007D773B"/>
    <w:rsid w:val="007E17AC"/>
    <w:rsid w:val="007E1980"/>
    <w:rsid w:val="007E2258"/>
    <w:rsid w:val="007E284B"/>
    <w:rsid w:val="007E327A"/>
    <w:rsid w:val="007E33E8"/>
    <w:rsid w:val="007E3909"/>
    <w:rsid w:val="007E45C5"/>
    <w:rsid w:val="007E4B76"/>
    <w:rsid w:val="007E5EA8"/>
    <w:rsid w:val="007E6979"/>
    <w:rsid w:val="007E6C3E"/>
    <w:rsid w:val="007E7CEE"/>
    <w:rsid w:val="007E7DD0"/>
    <w:rsid w:val="007F03B4"/>
    <w:rsid w:val="007F05B2"/>
    <w:rsid w:val="007F0CF1"/>
    <w:rsid w:val="007F0D7D"/>
    <w:rsid w:val="007F12A5"/>
    <w:rsid w:val="007F13BF"/>
    <w:rsid w:val="007F202A"/>
    <w:rsid w:val="007F2759"/>
    <w:rsid w:val="007F2FEB"/>
    <w:rsid w:val="007F39FF"/>
    <w:rsid w:val="007F4CF1"/>
    <w:rsid w:val="007F71BA"/>
    <w:rsid w:val="007F758D"/>
    <w:rsid w:val="007F7C0D"/>
    <w:rsid w:val="007F7D52"/>
    <w:rsid w:val="007F7DD9"/>
    <w:rsid w:val="007F7F48"/>
    <w:rsid w:val="008006A0"/>
    <w:rsid w:val="00800A15"/>
    <w:rsid w:val="008014DB"/>
    <w:rsid w:val="00803303"/>
    <w:rsid w:val="008039A3"/>
    <w:rsid w:val="00805453"/>
    <w:rsid w:val="008064BD"/>
    <w:rsid w:val="0080654C"/>
    <w:rsid w:val="008071C6"/>
    <w:rsid w:val="00810758"/>
    <w:rsid w:val="00810DE0"/>
    <w:rsid w:val="00811628"/>
    <w:rsid w:val="00811E9D"/>
    <w:rsid w:val="00812354"/>
    <w:rsid w:val="00812DAC"/>
    <w:rsid w:val="008139E1"/>
    <w:rsid w:val="00813A9B"/>
    <w:rsid w:val="0081429A"/>
    <w:rsid w:val="00814D08"/>
    <w:rsid w:val="0081547A"/>
    <w:rsid w:val="00815972"/>
    <w:rsid w:val="00815ADD"/>
    <w:rsid w:val="00816D97"/>
    <w:rsid w:val="00817373"/>
    <w:rsid w:val="0081757D"/>
    <w:rsid w:val="008176C0"/>
    <w:rsid w:val="00817A00"/>
    <w:rsid w:val="00817A52"/>
    <w:rsid w:val="00817C6A"/>
    <w:rsid w:val="00817F71"/>
    <w:rsid w:val="00820012"/>
    <w:rsid w:val="008204A4"/>
    <w:rsid w:val="00821A82"/>
    <w:rsid w:val="00821C18"/>
    <w:rsid w:val="008223FF"/>
    <w:rsid w:val="00822649"/>
    <w:rsid w:val="0082333B"/>
    <w:rsid w:val="00823A66"/>
    <w:rsid w:val="00823F63"/>
    <w:rsid w:val="00824A50"/>
    <w:rsid w:val="0082566F"/>
    <w:rsid w:val="008259D2"/>
    <w:rsid w:val="00825A4B"/>
    <w:rsid w:val="0082649B"/>
    <w:rsid w:val="00826643"/>
    <w:rsid w:val="00827154"/>
    <w:rsid w:val="008303B6"/>
    <w:rsid w:val="00830D05"/>
    <w:rsid w:val="00831B57"/>
    <w:rsid w:val="00832106"/>
    <w:rsid w:val="00832C92"/>
    <w:rsid w:val="00834001"/>
    <w:rsid w:val="00834811"/>
    <w:rsid w:val="00834A0D"/>
    <w:rsid w:val="00835357"/>
    <w:rsid w:val="00835DB3"/>
    <w:rsid w:val="0083617B"/>
    <w:rsid w:val="00836266"/>
    <w:rsid w:val="008371BD"/>
    <w:rsid w:val="008378FF"/>
    <w:rsid w:val="0084086C"/>
    <w:rsid w:val="008418C9"/>
    <w:rsid w:val="0084222B"/>
    <w:rsid w:val="008433F7"/>
    <w:rsid w:val="00843F7D"/>
    <w:rsid w:val="0084426E"/>
    <w:rsid w:val="00844624"/>
    <w:rsid w:val="00844762"/>
    <w:rsid w:val="00845D11"/>
    <w:rsid w:val="00845D53"/>
    <w:rsid w:val="00846A7E"/>
    <w:rsid w:val="00850286"/>
    <w:rsid w:val="0085042B"/>
    <w:rsid w:val="008504A8"/>
    <w:rsid w:val="00851A78"/>
    <w:rsid w:val="0085282E"/>
    <w:rsid w:val="00852AB8"/>
    <w:rsid w:val="008536D6"/>
    <w:rsid w:val="008537EE"/>
    <w:rsid w:val="008547AC"/>
    <w:rsid w:val="00856CB5"/>
    <w:rsid w:val="00856DA9"/>
    <w:rsid w:val="00857660"/>
    <w:rsid w:val="00862AC6"/>
    <w:rsid w:val="00864B48"/>
    <w:rsid w:val="0086697B"/>
    <w:rsid w:val="00866B1B"/>
    <w:rsid w:val="00870140"/>
    <w:rsid w:val="008707B3"/>
    <w:rsid w:val="0087084C"/>
    <w:rsid w:val="00870F3A"/>
    <w:rsid w:val="008718FB"/>
    <w:rsid w:val="0087198C"/>
    <w:rsid w:val="00871A2C"/>
    <w:rsid w:val="00872C1F"/>
    <w:rsid w:val="008734F5"/>
    <w:rsid w:val="0087368B"/>
    <w:rsid w:val="008736F8"/>
    <w:rsid w:val="00873879"/>
    <w:rsid w:val="00873B42"/>
    <w:rsid w:val="008747E3"/>
    <w:rsid w:val="008767E9"/>
    <w:rsid w:val="00876C48"/>
    <w:rsid w:val="00880BD1"/>
    <w:rsid w:val="00883A42"/>
    <w:rsid w:val="00883E81"/>
    <w:rsid w:val="00884C04"/>
    <w:rsid w:val="0088500A"/>
    <w:rsid w:val="008850A8"/>
    <w:rsid w:val="0088545E"/>
    <w:rsid w:val="008856D8"/>
    <w:rsid w:val="008865B1"/>
    <w:rsid w:val="00886C89"/>
    <w:rsid w:val="008876F6"/>
    <w:rsid w:val="0089051E"/>
    <w:rsid w:val="00891264"/>
    <w:rsid w:val="008913D2"/>
    <w:rsid w:val="008929B1"/>
    <w:rsid w:val="00892E82"/>
    <w:rsid w:val="00892FBF"/>
    <w:rsid w:val="0089345C"/>
    <w:rsid w:val="00893739"/>
    <w:rsid w:val="00893785"/>
    <w:rsid w:val="00894417"/>
    <w:rsid w:val="00896A0D"/>
    <w:rsid w:val="00896E1B"/>
    <w:rsid w:val="0089752E"/>
    <w:rsid w:val="008A0C03"/>
    <w:rsid w:val="008A0DE6"/>
    <w:rsid w:val="008A16C3"/>
    <w:rsid w:val="008A222B"/>
    <w:rsid w:val="008A293D"/>
    <w:rsid w:val="008A3099"/>
    <w:rsid w:val="008A3112"/>
    <w:rsid w:val="008A32F0"/>
    <w:rsid w:val="008A3B50"/>
    <w:rsid w:val="008A45C5"/>
    <w:rsid w:val="008A48F3"/>
    <w:rsid w:val="008A5519"/>
    <w:rsid w:val="008A7576"/>
    <w:rsid w:val="008B04D2"/>
    <w:rsid w:val="008B054C"/>
    <w:rsid w:val="008B07D1"/>
    <w:rsid w:val="008B249F"/>
    <w:rsid w:val="008B2CE0"/>
    <w:rsid w:val="008B3337"/>
    <w:rsid w:val="008B3B3F"/>
    <w:rsid w:val="008B4064"/>
    <w:rsid w:val="008B4E22"/>
    <w:rsid w:val="008B5288"/>
    <w:rsid w:val="008B5B31"/>
    <w:rsid w:val="008C1B58"/>
    <w:rsid w:val="008C243D"/>
    <w:rsid w:val="008C38C2"/>
    <w:rsid w:val="008C39AE"/>
    <w:rsid w:val="008C52D3"/>
    <w:rsid w:val="008C590D"/>
    <w:rsid w:val="008C6A65"/>
    <w:rsid w:val="008C6B6C"/>
    <w:rsid w:val="008C708F"/>
    <w:rsid w:val="008D0146"/>
    <w:rsid w:val="008D0FAB"/>
    <w:rsid w:val="008D13B0"/>
    <w:rsid w:val="008D4706"/>
    <w:rsid w:val="008D4870"/>
    <w:rsid w:val="008D58ED"/>
    <w:rsid w:val="008D75A3"/>
    <w:rsid w:val="008D78A0"/>
    <w:rsid w:val="008D7B68"/>
    <w:rsid w:val="008E031B"/>
    <w:rsid w:val="008E0D31"/>
    <w:rsid w:val="008E0EFD"/>
    <w:rsid w:val="008E0F33"/>
    <w:rsid w:val="008E165B"/>
    <w:rsid w:val="008E22DA"/>
    <w:rsid w:val="008E2F41"/>
    <w:rsid w:val="008E35D9"/>
    <w:rsid w:val="008E41ED"/>
    <w:rsid w:val="008E4590"/>
    <w:rsid w:val="008E4A6D"/>
    <w:rsid w:val="008E5F57"/>
    <w:rsid w:val="008E6746"/>
    <w:rsid w:val="008E7029"/>
    <w:rsid w:val="008E7EF6"/>
    <w:rsid w:val="008F1F98"/>
    <w:rsid w:val="008F26DA"/>
    <w:rsid w:val="008F4B9B"/>
    <w:rsid w:val="008F512C"/>
    <w:rsid w:val="008F5901"/>
    <w:rsid w:val="008F6758"/>
    <w:rsid w:val="008F68DA"/>
    <w:rsid w:val="008F6D1C"/>
    <w:rsid w:val="008F71A8"/>
    <w:rsid w:val="008F7577"/>
    <w:rsid w:val="00900628"/>
    <w:rsid w:val="00900A15"/>
    <w:rsid w:val="00901CDA"/>
    <w:rsid w:val="009024DD"/>
    <w:rsid w:val="009025FA"/>
    <w:rsid w:val="00903D36"/>
    <w:rsid w:val="00903FF5"/>
    <w:rsid w:val="009040DD"/>
    <w:rsid w:val="0090438A"/>
    <w:rsid w:val="00905B47"/>
    <w:rsid w:val="00906BF8"/>
    <w:rsid w:val="00910FC3"/>
    <w:rsid w:val="00911439"/>
    <w:rsid w:val="00911E06"/>
    <w:rsid w:val="00911E9F"/>
    <w:rsid w:val="00912C39"/>
    <w:rsid w:val="00912F14"/>
    <w:rsid w:val="0091331C"/>
    <w:rsid w:val="00914646"/>
    <w:rsid w:val="00915709"/>
    <w:rsid w:val="00915DFA"/>
    <w:rsid w:val="00915E26"/>
    <w:rsid w:val="00916230"/>
    <w:rsid w:val="00916994"/>
    <w:rsid w:val="009175CD"/>
    <w:rsid w:val="00917DB0"/>
    <w:rsid w:val="00917F16"/>
    <w:rsid w:val="00920844"/>
    <w:rsid w:val="00920AA2"/>
    <w:rsid w:val="00920DB3"/>
    <w:rsid w:val="00921D7E"/>
    <w:rsid w:val="009227D6"/>
    <w:rsid w:val="00924832"/>
    <w:rsid w:val="00924D43"/>
    <w:rsid w:val="00925711"/>
    <w:rsid w:val="00927110"/>
    <w:rsid w:val="009273CF"/>
    <w:rsid w:val="009279DE"/>
    <w:rsid w:val="00927FA0"/>
    <w:rsid w:val="00930116"/>
    <w:rsid w:val="00930C3E"/>
    <w:rsid w:val="0093119A"/>
    <w:rsid w:val="00935EB1"/>
    <w:rsid w:val="00935FD7"/>
    <w:rsid w:val="009371B7"/>
    <w:rsid w:val="00940146"/>
    <w:rsid w:val="00940897"/>
    <w:rsid w:val="00940B94"/>
    <w:rsid w:val="00940D54"/>
    <w:rsid w:val="009412C2"/>
    <w:rsid w:val="0094171B"/>
    <w:rsid w:val="0094180F"/>
    <w:rsid w:val="00941FC1"/>
    <w:rsid w:val="0094212C"/>
    <w:rsid w:val="0094254F"/>
    <w:rsid w:val="00943138"/>
    <w:rsid w:val="0094376C"/>
    <w:rsid w:val="009443A8"/>
    <w:rsid w:val="00945499"/>
    <w:rsid w:val="009456EE"/>
    <w:rsid w:val="0094588C"/>
    <w:rsid w:val="00946234"/>
    <w:rsid w:val="00946597"/>
    <w:rsid w:val="00947CAC"/>
    <w:rsid w:val="00947F8B"/>
    <w:rsid w:val="00950205"/>
    <w:rsid w:val="00950D7C"/>
    <w:rsid w:val="009523B9"/>
    <w:rsid w:val="0095361C"/>
    <w:rsid w:val="00954689"/>
    <w:rsid w:val="0095655D"/>
    <w:rsid w:val="00957732"/>
    <w:rsid w:val="0096006A"/>
    <w:rsid w:val="0096026E"/>
    <w:rsid w:val="009617C9"/>
    <w:rsid w:val="00961B87"/>
    <w:rsid w:val="00961C93"/>
    <w:rsid w:val="0096217E"/>
    <w:rsid w:val="0096263F"/>
    <w:rsid w:val="00963423"/>
    <w:rsid w:val="009639D3"/>
    <w:rsid w:val="009648D9"/>
    <w:rsid w:val="00964EAD"/>
    <w:rsid w:val="00965215"/>
    <w:rsid w:val="00965324"/>
    <w:rsid w:val="009656ED"/>
    <w:rsid w:val="009658D3"/>
    <w:rsid w:val="00965C51"/>
    <w:rsid w:val="0096671D"/>
    <w:rsid w:val="0096727E"/>
    <w:rsid w:val="0097005E"/>
    <w:rsid w:val="0097091E"/>
    <w:rsid w:val="009711E7"/>
    <w:rsid w:val="00971E52"/>
    <w:rsid w:val="00972CD2"/>
    <w:rsid w:val="009739FA"/>
    <w:rsid w:val="00974243"/>
    <w:rsid w:val="00974C7E"/>
    <w:rsid w:val="009760D3"/>
    <w:rsid w:val="00976EDF"/>
    <w:rsid w:val="00977132"/>
    <w:rsid w:val="00977DFE"/>
    <w:rsid w:val="00977F76"/>
    <w:rsid w:val="00980EC1"/>
    <w:rsid w:val="00981A4B"/>
    <w:rsid w:val="00982501"/>
    <w:rsid w:val="00982538"/>
    <w:rsid w:val="0098573A"/>
    <w:rsid w:val="00985C33"/>
    <w:rsid w:val="00985DAB"/>
    <w:rsid w:val="009865E9"/>
    <w:rsid w:val="00986952"/>
    <w:rsid w:val="009869FF"/>
    <w:rsid w:val="009877D3"/>
    <w:rsid w:val="00987A5D"/>
    <w:rsid w:val="00987E1A"/>
    <w:rsid w:val="00990277"/>
    <w:rsid w:val="00990BDB"/>
    <w:rsid w:val="00991004"/>
    <w:rsid w:val="009913D9"/>
    <w:rsid w:val="00991565"/>
    <w:rsid w:val="00991820"/>
    <w:rsid w:val="009921A5"/>
    <w:rsid w:val="0099233D"/>
    <w:rsid w:val="00992DF8"/>
    <w:rsid w:val="00993217"/>
    <w:rsid w:val="00993974"/>
    <w:rsid w:val="00994E8F"/>
    <w:rsid w:val="009951DC"/>
    <w:rsid w:val="009959BB"/>
    <w:rsid w:val="00997158"/>
    <w:rsid w:val="009A148C"/>
    <w:rsid w:val="009A1666"/>
    <w:rsid w:val="009A1C54"/>
    <w:rsid w:val="009A1E78"/>
    <w:rsid w:val="009A1FE7"/>
    <w:rsid w:val="009A2097"/>
    <w:rsid w:val="009A22FB"/>
    <w:rsid w:val="009A37D6"/>
    <w:rsid w:val="009A3A7C"/>
    <w:rsid w:val="009A3D1C"/>
    <w:rsid w:val="009A5D49"/>
    <w:rsid w:val="009A73CE"/>
    <w:rsid w:val="009B0339"/>
    <w:rsid w:val="009B2365"/>
    <w:rsid w:val="009B23C6"/>
    <w:rsid w:val="009B2ADB"/>
    <w:rsid w:val="009B2F1C"/>
    <w:rsid w:val="009B3C29"/>
    <w:rsid w:val="009B5352"/>
    <w:rsid w:val="009B55DB"/>
    <w:rsid w:val="009B56E5"/>
    <w:rsid w:val="009B5A0D"/>
    <w:rsid w:val="009B5C3F"/>
    <w:rsid w:val="009B5E26"/>
    <w:rsid w:val="009B5EA3"/>
    <w:rsid w:val="009B603A"/>
    <w:rsid w:val="009B6216"/>
    <w:rsid w:val="009B6DBB"/>
    <w:rsid w:val="009B7606"/>
    <w:rsid w:val="009C27E3"/>
    <w:rsid w:val="009C2D0E"/>
    <w:rsid w:val="009C3303"/>
    <w:rsid w:val="009C3767"/>
    <w:rsid w:val="009C3DAC"/>
    <w:rsid w:val="009C42E0"/>
    <w:rsid w:val="009C4F3A"/>
    <w:rsid w:val="009C4F3E"/>
    <w:rsid w:val="009C55B9"/>
    <w:rsid w:val="009C5A8E"/>
    <w:rsid w:val="009C5BA2"/>
    <w:rsid w:val="009C6A8B"/>
    <w:rsid w:val="009C7932"/>
    <w:rsid w:val="009D00EC"/>
    <w:rsid w:val="009D028C"/>
    <w:rsid w:val="009D0F18"/>
    <w:rsid w:val="009D111F"/>
    <w:rsid w:val="009D1D5C"/>
    <w:rsid w:val="009D21FF"/>
    <w:rsid w:val="009D3BFD"/>
    <w:rsid w:val="009D4592"/>
    <w:rsid w:val="009D4D38"/>
    <w:rsid w:val="009D51AE"/>
    <w:rsid w:val="009D5362"/>
    <w:rsid w:val="009D6095"/>
    <w:rsid w:val="009D619A"/>
    <w:rsid w:val="009D76B2"/>
    <w:rsid w:val="009D792C"/>
    <w:rsid w:val="009E019A"/>
    <w:rsid w:val="009E028B"/>
    <w:rsid w:val="009E080A"/>
    <w:rsid w:val="009E0CAF"/>
    <w:rsid w:val="009E1415"/>
    <w:rsid w:val="009E1759"/>
    <w:rsid w:val="009E1C55"/>
    <w:rsid w:val="009E321C"/>
    <w:rsid w:val="009E3BCE"/>
    <w:rsid w:val="009E436A"/>
    <w:rsid w:val="009E6116"/>
    <w:rsid w:val="009E6549"/>
    <w:rsid w:val="009E787C"/>
    <w:rsid w:val="009F01E6"/>
    <w:rsid w:val="009F0A67"/>
    <w:rsid w:val="009F0C9D"/>
    <w:rsid w:val="009F1537"/>
    <w:rsid w:val="009F15D5"/>
    <w:rsid w:val="009F27D0"/>
    <w:rsid w:val="009F2E25"/>
    <w:rsid w:val="009F2E2D"/>
    <w:rsid w:val="009F4487"/>
    <w:rsid w:val="009F4664"/>
    <w:rsid w:val="009F522E"/>
    <w:rsid w:val="009F59AF"/>
    <w:rsid w:val="009F5D09"/>
    <w:rsid w:val="009F5F31"/>
    <w:rsid w:val="009F5F8E"/>
    <w:rsid w:val="009F67E0"/>
    <w:rsid w:val="009F79B2"/>
    <w:rsid w:val="009F7D20"/>
    <w:rsid w:val="00A0027E"/>
    <w:rsid w:val="00A0073E"/>
    <w:rsid w:val="00A00DF5"/>
    <w:rsid w:val="00A00EA0"/>
    <w:rsid w:val="00A00EB8"/>
    <w:rsid w:val="00A011D6"/>
    <w:rsid w:val="00A02E43"/>
    <w:rsid w:val="00A03240"/>
    <w:rsid w:val="00A049A8"/>
    <w:rsid w:val="00A04C41"/>
    <w:rsid w:val="00A065F9"/>
    <w:rsid w:val="00A066A8"/>
    <w:rsid w:val="00A0720A"/>
    <w:rsid w:val="00A07F04"/>
    <w:rsid w:val="00A07F34"/>
    <w:rsid w:val="00A1137D"/>
    <w:rsid w:val="00A114F4"/>
    <w:rsid w:val="00A13816"/>
    <w:rsid w:val="00A15A13"/>
    <w:rsid w:val="00A15E33"/>
    <w:rsid w:val="00A164A2"/>
    <w:rsid w:val="00A167BE"/>
    <w:rsid w:val="00A174DA"/>
    <w:rsid w:val="00A17F02"/>
    <w:rsid w:val="00A20077"/>
    <w:rsid w:val="00A2116B"/>
    <w:rsid w:val="00A21820"/>
    <w:rsid w:val="00A220FA"/>
    <w:rsid w:val="00A22154"/>
    <w:rsid w:val="00A222CF"/>
    <w:rsid w:val="00A23B5E"/>
    <w:rsid w:val="00A24410"/>
    <w:rsid w:val="00A246C5"/>
    <w:rsid w:val="00A24DA1"/>
    <w:rsid w:val="00A253D7"/>
    <w:rsid w:val="00A25C38"/>
    <w:rsid w:val="00A265ED"/>
    <w:rsid w:val="00A26816"/>
    <w:rsid w:val="00A272AC"/>
    <w:rsid w:val="00A27866"/>
    <w:rsid w:val="00A308CB"/>
    <w:rsid w:val="00A3262C"/>
    <w:rsid w:val="00A32FCE"/>
    <w:rsid w:val="00A33AA8"/>
    <w:rsid w:val="00A35B19"/>
    <w:rsid w:val="00A367DE"/>
    <w:rsid w:val="00A36A23"/>
    <w:rsid w:val="00A36A57"/>
    <w:rsid w:val="00A36BBE"/>
    <w:rsid w:val="00A37233"/>
    <w:rsid w:val="00A37ACF"/>
    <w:rsid w:val="00A37C3E"/>
    <w:rsid w:val="00A400B1"/>
    <w:rsid w:val="00A401E5"/>
    <w:rsid w:val="00A41076"/>
    <w:rsid w:val="00A41D1B"/>
    <w:rsid w:val="00A425B3"/>
    <w:rsid w:val="00A427B7"/>
    <w:rsid w:val="00A4307A"/>
    <w:rsid w:val="00A4379E"/>
    <w:rsid w:val="00A45379"/>
    <w:rsid w:val="00A4676E"/>
    <w:rsid w:val="00A4693A"/>
    <w:rsid w:val="00A47EBB"/>
    <w:rsid w:val="00A5073A"/>
    <w:rsid w:val="00A50D19"/>
    <w:rsid w:val="00A511D4"/>
    <w:rsid w:val="00A51CDD"/>
    <w:rsid w:val="00A5226B"/>
    <w:rsid w:val="00A536BD"/>
    <w:rsid w:val="00A549FF"/>
    <w:rsid w:val="00A567D8"/>
    <w:rsid w:val="00A61C90"/>
    <w:rsid w:val="00A61CF7"/>
    <w:rsid w:val="00A63E9A"/>
    <w:rsid w:val="00A64AC0"/>
    <w:rsid w:val="00A64F9A"/>
    <w:rsid w:val="00A653E4"/>
    <w:rsid w:val="00A655AF"/>
    <w:rsid w:val="00A667CC"/>
    <w:rsid w:val="00A67140"/>
    <w:rsid w:val="00A6730D"/>
    <w:rsid w:val="00A67488"/>
    <w:rsid w:val="00A700E9"/>
    <w:rsid w:val="00A70460"/>
    <w:rsid w:val="00A706C0"/>
    <w:rsid w:val="00A71625"/>
    <w:rsid w:val="00A71B9B"/>
    <w:rsid w:val="00A721CB"/>
    <w:rsid w:val="00A73061"/>
    <w:rsid w:val="00A73254"/>
    <w:rsid w:val="00A73637"/>
    <w:rsid w:val="00A73781"/>
    <w:rsid w:val="00A751C7"/>
    <w:rsid w:val="00A754D3"/>
    <w:rsid w:val="00A7696D"/>
    <w:rsid w:val="00A77067"/>
    <w:rsid w:val="00A77384"/>
    <w:rsid w:val="00A77C90"/>
    <w:rsid w:val="00A80BE5"/>
    <w:rsid w:val="00A81AE5"/>
    <w:rsid w:val="00A82400"/>
    <w:rsid w:val="00A82C7D"/>
    <w:rsid w:val="00A83BDB"/>
    <w:rsid w:val="00A849BE"/>
    <w:rsid w:val="00A84ABE"/>
    <w:rsid w:val="00A85388"/>
    <w:rsid w:val="00A862F8"/>
    <w:rsid w:val="00A86B45"/>
    <w:rsid w:val="00A86EC8"/>
    <w:rsid w:val="00A87656"/>
    <w:rsid w:val="00A87844"/>
    <w:rsid w:val="00A91FD5"/>
    <w:rsid w:val="00A92789"/>
    <w:rsid w:val="00A9280A"/>
    <w:rsid w:val="00A92DAA"/>
    <w:rsid w:val="00AA038C"/>
    <w:rsid w:val="00AA19A4"/>
    <w:rsid w:val="00AA2907"/>
    <w:rsid w:val="00AA333E"/>
    <w:rsid w:val="00AA46ED"/>
    <w:rsid w:val="00AA4899"/>
    <w:rsid w:val="00AA4A2A"/>
    <w:rsid w:val="00AA5E50"/>
    <w:rsid w:val="00AA6B5C"/>
    <w:rsid w:val="00AA7A09"/>
    <w:rsid w:val="00AB0A5A"/>
    <w:rsid w:val="00AB15BE"/>
    <w:rsid w:val="00AB1D88"/>
    <w:rsid w:val="00AB2B09"/>
    <w:rsid w:val="00AB36AA"/>
    <w:rsid w:val="00AB3B50"/>
    <w:rsid w:val="00AB419F"/>
    <w:rsid w:val="00AB43C6"/>
    <w:rsid w:val="00AB4BED"/>
    <w:rsid w:val="00AB7766"/>
    <w:rsid w:val="00AC04E5"/>
    <w:rsid w:val="00AC05B1"/>
    <w:rsid w:val="00AC09DF"/>
    <w:rsid w:val="00AC107A"/>
    <w:rsid w:val="00AC1709"/>
    <w:rsid w:val="00AC1952"/>
    <w:rsid w:val="00AC29ED"/>
    <w:rsid w:val="00AC2C14"/>
    <w:rsid w:val="00AC56D2"/>
    <w:rsid w:val="00AC634A"/>
    <w:rsid w:val="00AC7F64"/>
    <w:rsid w:val="00AD0F3E"/>
    <w:rsid w:val="00AD1200"/>
    <w:rsid w:val="00AD1BD5"/>
    <w:rsid w:val="00AD2633"/>
    <w:rsid w:val="00AD356C"/>
    <w:rsid w:val="00AD4B5A"/>
    <w:rsid w:val="00AD5C5E"/>
    <w:rsid w:val="00AD5E45"/>
    <w:rsid w:val="00AD7479"/>
    <w:rsid w:val="00AD7AF9"/>
    <w:rsid w:val="00AD7BD6"/>
    <w:rsid w:val="00AE0B35"/>
    <w:rsid w:val="00AE1AC1"/>
    <w:rsid w:val="00AE2914"/>
    <w:rsid w:val="00AE346E"/>
    <w:rsid w:val="00AE489C"/>
    <w:rsid w:val="00AE5203"/>
    <w:rsid w:val="00AE5423"/>
    <w:rsid w:val="00AE6D15"/>
    <w:rsid w:val="00AE6E6A"/>
    <w:rsid w:val="00AE709B"/>
    <w:rsid w:val="00AF0052"/>
    <w:rsid w:val="00AF026D"/>
    <w:rsid w:val="00AF0BDB"/>
    <w:rsid w:val="00AF1621"/>
    <w:rsid w:val="00AF191F"/>
    <w:rsid w:val="00AF1996"/>
    <w:rsid w:val="00AF1B56"/>
    <w:rsid w:val="00AF2A7C"/>
    <w:rsid w:val="00AF2B73"/>
    <w:rsid w:val="00AF31A3"/>
    <w:rsid w:val="00AF38D2"/>
    <w:rsid w:val="00AF46E9"/>
    <w:rsid w:val="00AF509B"/>
    <w:rsid w:val="00AF67FD"/>
    <w:rsid w:val="00AF7022"/>
    <w:rsid w:val="00B0064C"/>
    <w:rsid w:val="00B0065D"/>
    <w:rsid w:val="00B01D27"/>
    <w:rsid w:val="00B02586"/>
    <w:rsid w:val="00B0258C"/>
    <w:rsid w:val="00B036E8"/>
    <w:rsid w:val="00B04127"/>
    <w:rsid w:val="00B04182"/>
    <w:rsid w:val="00B0533C"/>
    <w:rsid w:val="00B059F1"/>
    <w:rsid w:val="00B05E4A"/>
    <w:rsid w:val="00B07AE3"/>
    <w:rsid w:val="00B10646"/>
    <w:rsid w:val="00B10F32"/>
    <w:rsid w:val="00B11430"/>
    <w:rsid w:val="00B114B6"/>
    <w:rsid w:val="00B14207"/>
    <w:rsid w:val="00B14297"/>
    <w:rsid w:val="00B156B3"/>
    <w:rsid w:val="00B15A2C"/>
    <w:rsid w:val="00B1632F"/>
    <w:rsid w:val="00B16716"/>
    <w:rsid w:val="00B17779"/>
    <w:rsid w:val="00B17E6A"/>
    <w:rsid w:val="00B2020E"/>
    <w:rsid w:val="00B2094E"/>
    <w:rsid w:val="00B20E7D"/>
    <w:rsid w:val="00B21603"/>
    <w:rsid w:val="00B22223"/>
    <w:rsid w:val="00B22E21"/>
    <w:rsid w:val="00B22EC8"/>
    <w:rsid w:val="00B235B5"/>
    <w:rsid w:val="00B245F4"/>
    <w:rsid w:val="00B261E7"/>
    <w:rsid w:val="00B26518"/>
    <w:rsid w:val="00B30915"/>
    <w:rsid w:val="00B353EB"/>
    <w:rsid w:val="00B3545B"/>
    <w:rsid w:val="00B35678"/>
    <w:rsid w:val="00B35DF7"/>
    <w:rsid w:val="00B36299"/>
    <w:rsid w:val="00B36639"/>
    <w:rsid w:val="00B370DE"/>
    <w:rsid w:val="00B403A1"/>
    <w:rsid w:val="00B40560"/>
    <w:rsid w:val="00B4069E"/>
    <w:rsid w:val="00B417F1"/>
    <w:rsid w:val="00B4202B"/>
    <w:rsid w:val="00B42438"/>
    <w:rsid w:val="00B426AD"/>
    <w:rsid w:val="00B434C2"/>
    <w:rsid w:val="00B439C4"/>
    <w:rsid w:val="00B43A75"/>
    <w:rsid w:val="00B4535E"/>
    <w:rsid w:val="00B45660"/>
    <w:rsid w:val="00B459DC"/>
    <w:rsid w:val="00B45CD6"/>
    <w:rsid w:val="00B46098"/>
    <w:rsid w:val="00B47EC3"/>
    <w:rsid w:val="00B50190"/>
    <w:rsid w:val="00B50750"/>
    <w:rsid w:val="00B50914"/>
    <w:rsid w:val="00B51C80"/>
    <w:rsid w:val="00B51DB1"/>
    <w:rsid w:val="00B52A8C"/>
    <w:rsid w:val="00B53DEC"/>
    <w:rsid w:val="00B5499B"/>
    <w:rsid w:val="00B5541D"/>
    <w:rsid w:val="00B55CA8"/>
    <w:rsid w:val="00B57794"/>
    <w:rsid w:val="00B57E4E"/>
    <w:rsid w:val="00B600F8"/>
    <w:rsid w:val="00B60663"/>
    <w:rsid w:val="00B610AF"/>
    <w:rsid w:val="00B61A0A"/>
    <w:rsid w:val="00B61D2B"/>
    <w:rsid w:val="00B62205"/>
    <w:rsid w:val="00B62E0C"/>
    <w:rsid w:val="00B636A8"/>
    <w:rsid w:val="00B63C15"/>
    <w:rsid w:val="00B63E75"/>
    <w:rsid w:val="00B64FB4"/>
    <w:rsid w:val="00B66084"/>
    <w:rsid w:val="00B665C6"/>
    <w:rsid w:val="00B707A9"/>
    <w:rsid w:val="00B707C3"/>
    <w:rsid w:val="00B72891"/>
    <w:rsid w:val="00B737CA"/>
    <w:rsid w:val="00B7487D"/>
    <w:rsid w:val="00B749B4"/>
    <w:rsid w:val="00B74EA9"/>
    <w:rsid w:val="00B75756"/>
    <w:rsid w:val="00B76191"/>
    <w:rsid w:val="00B76B38"/>
    <w:rsid w:val="00B805AF"/>
    <w:rsid w:val="00B80E0D"/>
    <w:rsid w:val="00B81B26"/>
    <w:rsid w:val="00B81B95"/>
    <w:rsid w:val="00B81DBE"/>
    <w:rsid w:val="00B82F9B"/>
    <w:rsid w:val="00B84A89"/>
    <w:rsid w:val="00B85033"/>
    <w:rsid w:val="00B869EC"/>
    <w:rsid w:val="00B86F8F"/>
    <w:rsid w:val="00B922EC"/>
    <w:rsid w:val="00B934AC"/>
    <w:rsid w:val="00B93589"/>
    <w:rsid w:val="00B9397A"/>
    <w:rsid w:val="00B95AE7"/>
    <w:rsid w:val="00B9633D"/>
    <w:rsid w:val="00B97ECF"/>
    <w:rsid w:val="00BA09D6"/>
    <w:rsid w:val="00BA09F5"/>
    <w:rsid w:val="00BA1E4D"/>
    <w:rsid w:val="00BA2150"/>
    <w:rsid w:val="00BA2544"/>
    <w:rsid w:val="00BA2EBE"/>
    <w:rsid w:val="00BA2F2E"/>
    <w:rsid w:val="00BA3BBF"/>
    <w:rsid w:val="00BA51D3"/>
    <w:rsid w:val="00BA59DD"/>
    <w:rsid w:val="00BA5A59"/>
    <w:rsid w:val="00BA6043"/>
    <w:rsid w:val="00BA6321"/>
    <w:rsid w:val="00BA6749"/>
    <w:rsid w:val="00BA7019"/>
    <w:rsid w:val="00BA7078"/>
    <w:rsid w:val="00BA7553"/>
    <w:rsid w:val="00BB0DC5"/>
    <w:rsid w:val="00BB0F28"/>
    <w:rsid w:val="00BB1999"/>
    <w:rsid w:val="00BB1C3C"/>
    <w:rsid w:val="00BB203A"/>
    <w:rsid w:val="00BB24CA"/>
    <w:rsid w:val="00BB2EE7"/>
    <w:rsid w:val="00BB3E77"/>
    <w:rsid w:val="00BB458A"/>
    <w:rsid w:val="00BB4AD8"/>
    <w:rsid w:val="00BB5A3E"/>
    <w:rsid w:val="00BB5CCD"/>
    <w:rsid w:val="00BB5DD2"/>
    <w:rsid w:val="00BB5E04"/>
    <w:rsid w:val="00BB5E08"/>
    <w:rsid w:val="00BB6ABA"/>
    <w:rsid w:val="00BC02E8"/>
    <w:rsid w:val="00BC1365"/>
    <w:rsid w:val="00BC1C61"/>
    <w:rsid w:val="00BC2151"/>
    <w:rsid w:val="00BC2342"/>
    <w:rsid w:val="00BC2CB7"/>
    <w:rsid w:val="00BC363A"/>
    <w:rsid w:val="00BC436D"/>
    <w:rsid w:val="00BC43BC"/>
    <w:rsid w:val="00BC4494"/>
    <w:rsid w:val="00BC44F9"/>
    <w:rsid w:val="00BC46DB"/>
    <w:rsid w:val="00BC4FEF"/>
    <w:rsid w:val="00BC5244"/>
    <w:rsid w:val="00BC5B82"/>
    <w:rsid w:val="00BC617D"/>
    <w:rsid w:val="00BC645E"/>
    <w:rsid w:val="00BC707A"/>
    <w:rsid w:val="00BD00D3"/>
    <w:rsid w:val="00BD1074"/>
    <w:rsid w:val="00BD1659"/>
    <w:rsid w:val="00BD19FC"/>
    <w:rsid w:val="00BD21A8"/>
    <w:rsid w:val="00BD23D1"/>
    <w:rsid w:val="00BD33B3"/>
    <w:rsid w:val="00BD38E5"/>
    <w:rsid w:val="00BD3AA9"/>
    <w:rsid w:val="00BD40D2"/>
    <w:rsid w:val="00BD4A18"/>
    <w:rsid w:val="00BD58FC"/>
    <w:rsid w:val="00BD6DB2"/>
    <w:rsid w:val="00BE08E3"/>
    <w:rsid w:val="00BE0EA1"/>
    <w:rsid w:val="00BE11CF"/>
    <w:rsid w:val="00BE21AB"/>
    <w:rsid w:val="00BE2B29"/>
    <w:rsid w:val="00BE320D"/>
    <w:rsid w:val="00BE33B7"/>
    <w:rsid w:val="00BE35BF"/>
    <w:rsid w:val="00BE3C0D"/>
    <w:rsid w:val="00BE55CB"/>
    <w:rsid w:val="00BF029F"/>
    <w:rsid w:val="00BF1EC2"/>
    <w:rsid w:val="00BF2DC4"/>
    <w:rsid w:val="00BF42F3"/>
    <w:rsid w:val="00BF50B6"/>
    <w:rsid w:val="00BF53C8"/>
    <w:rsid w:val="00BF617A"/>
    <w:rsid w:val="00C01791"/>
    <w:rsid w:val="00C02530"/>
    <w:rsid w:val="00C02785"/>
    <w:rsid w:val="00C028F1"/>
    <w:rsid w:val="00C0379D"/>
    <w:rsid w:val="00C03931"/>
    <w:rsid w:val="00C04252"/>
    <w:rsid w:val="00C04A50"/>
    <w:rsid w:val="00C04FBB"/>
    <w:rsid w:val="00C055D7"/>
    <w:rsid w:val="00C05FE3"/>
    <w:rsid w:val="00C0674C"/>
    <w:rsid w:val="00C10424"/>
    <w:rsid w:val="00C10A5D"/>
    <w:rsid w:val="00C10D25"/>
    <w:rsid w:val="00C13914"/>
    <w:rsid w:val="00C1395F"/>
    <w:rsid w:val="00C139CB"/>
    <w:rsid w:val="00C14213"/>
    <w:rsid w:val="00C14419"/>
    <w:rsid w:val="00C1726B"/>
    <w:rsid w:val="00C17331"/>
    <w:rsid w:val="00C1746C"/>
    <w:rsid w:val="00C20504"/>
    <w:rsid w:val="00C2136D"/>
    <w:rsid w:val="00C214EE"/>
    <w:rsid w:val="00C2314B"/>
    <w:rsid w:val="00C23AA2"/>
    <w:rsid w:val="00C24971"/>
    <w:rsid w:val="00C254A7"/>
    <w:rsid w:val="00C25B61"/>
    <w:rsid w:val="00C26583"/>
    <w:rsid w:val="00C26BE5"/>
    <w:rsid w:val="00C26D60"/>
    <w:rsid w:val="00C26DCF"/>
    <w:rsid w:val="00C26E4D"/>
    <w:rsid w:val="00C27909"/>
    <w:rsid w:val="00C27B03"/>
    <w:rsid w:val="00C27EDB"/>
    <w:rsid w:val="00C3093B"/>
    <w:rsid w:val="00C30E36"/>
    <w:rsid w:val="00C314E1"/>
    <w:rsid w:val="00C31FF9"/>
    <w:rsid w:val="00C3277B"/>
    <w:rsid w:val="00C33B03"/>
    <w:rsid w:val="00C33FDA"/>
    <w:rsid w:val="00C34397"/>
    <w:rsid w:val="00C3474B"/>
    <w:rsid w:val="00C37200"/>
    <w:rsid w:val="00C3757E"/>
    <w:rsid w:val="00C402DF"/>
    <w:rsid w:val="00C40597"/>
    <w:rsid w:val="00C4095D"/>
    <w:rsid w:val="00C40BC5"/>
    <w:rsid w:val="00C41176"/>
    <w:rsid w:val="00C41DA2"/>
    <w:rsid w:val="00C42951"/>
    <w:rsid w:val="00C42EC8"/>
    <w:rsid w:val="00C43211"/>
    <w:rsid w:val="00C4324F"/>
    <w:rsid w:val="00C4401C"/>
    <w:rsid w:val="00C443DB"/>
    <w:rsid w:val="00C447AC"/>
    <w:rsid w:val="00C45070"/>
    <w:rsid w:val="00C45538"/>
    <w:rsid w:val="00C45A0F"/>
    <w:rsid w:val="00C45BB1"/>
    <w:rsid w:val="00C46A92"/>
    <w:rsid w:val="00C50203"/>
    <w:rsid w:val="00C508E2"/>
    <w:rsid w:val="00C50EB1"/>
    <w:rsid w:val="00C520B8"/>
    <w:rsid w:val="00C5228A"/>
    <w:rsid w:val="00C534FF"/>
    <w:rsid w:val="00C53FE6"/>
    <w:rsid w:val="00C5425B"/>
    <w:rsid w:val="00C5468F"/>
    <w:rsid w:val="00C549D3"/>
    <w:rsid w:val="00C54E22"/>
    <w:rsid w:val="00C54E58"/>
    <w:rsid w:val="00C56573"/>
    <w:rsid w:val="00C5666D"/>
    <w:rsid w:val="00C574F9"/>
    <w:rsid w:val="00C601D2"/>
    <w:rsid w:val="00C6155A"/>
    <w:rsid w:val="00C6181E"/>
    <w:rsid w:val="00C61E2B"/>
    <w:rsid w:val="00C62FDE"/>
    <w:rsid w:val="00C63828"/>
    <w:rsid w:val="00C648EE"/>
    <w:rsid w:val="00C65011"/>
    <w:rsid w:val="00C65B59"/>
    <w:rsid w:val="00C65BCC"/>
    <w:rsid w:val="00C664F0"/>
    <w:rsid w:val="00C66970"/>
    <w:rsid w:val="00C66F8D"/>
    <w:rsid w:val="00C67CBE"/>
    <w:rsid w:val="00C70DB3"/>
    <w:rsid w:val="00C71092"/>
    <w:rsid w:val="00C72C52"/>
    <w:rsid w:val="00C733EF"/>
    <w:rsid w:val="00C73988"/>
    <w:rsid w:val="00C74208"/>
    <w:rsid w:val="00C744D3"/>
    <w:rsid w:val="00C746E0"/>
    <w:rsid w:val="00C74EEE"/>
    <w:rsid w:val="00C75D50"/>
    <w:rsid w:val="00C76B4F"/>
    <w:rsid w:val="00C76CC4"/>
    <w:rsid w:val="00C777BA"/>
    <w:rsid w:val="00C77CDD"/>
    <w:rsid w:val="00C8079C"/>
    <w:rsid w:val="00C80C51"/>
    <w:rsid w:val="00C81664"/>
    <w:rsid w:val="00C81C0E"/>
    <w:rsid w:val="00C82111"/>
    <w:rsid w:val="00C8262E"/>
    <w:rsid w:val="00C8457E"/>
    <w:rsid w:val="00C84F77"/>
    <w:rsid w:val="00C85953"/>
    <w:rsid w:val="00C85F00"/>
    <w:rsid w:val="00C862ED"/>
    <w:rsid w:val="00C8691C"/>
    <w:rsid w:val="00C86C40"/>
    <w:rsid w:val="00C87048"/>
    <w:rsid w:val="00C87E1B"/>
    <w:rsid w:val="00C90C69"/>
    <w:rsid w:val="00C91079"/>
    <w:rsid w:val="00C9136F"/>
    <w:rsid w:val="00C915FC"/>
    <w:rsid w:val="00C924F1"/>
    <w:rsid w:val="00C944E9"/>
    <w:rsid w:val="00C94DB8"/>
    <w:rsid w:val="00C954FA"/>
    <w:rsid w:val="00C9573F"/>
    <w:rsid w:val="00C95A8B"/>
    <w:rsid w:val="00C96598"/>
    <w:rsid w:val="00C9695C"/>
    <w:rsid w:val="00C974B4"/>
    <w:rsid w:val="00CA0030"/>
    <w:rsid w:val="00CA0297"/>
    <w:rsid w:val="00CA02B9"/>
    <w:rsid w:val="00CA076A"/>
    <w:rsid w:val="00CA0D7D"/>
    <w:rsid w:val="00CA168A"/>
    <w:rsid w:val="00CA23CF"/>
    <w:rsid w:val="00CA2969"/>
    <w:rsid w:val="00CA357E"/>
    <w:rsid w:val="00CA3B27"/>
    <w:rsid w:val="00CA3BDA"/>
    <w:rsid w:val="00CA43DE"/>
    <w:rsid w:val="00CA44E4"/>
    <w:rsid w:val="00CA44F9"/>
    <w:rsid w:val="00CA4754"/>
    <w:rsid w:val="00CA4A69"/>
    <w:rsid w:val="00CA4F07"/>
    <w:rsid w:val="00CA51DF"/>
    <w:rsid w:val="00CA5DF2"/>
    <w:rsid w:val="00CA6453"/>
    <w:rsid w:val="00CA695A"/>
    <w:rsid w:val="00CB1AAC"/>
    <w:rsid w:val="00CB31E2"/>
    <w:rsid w:val="00CB3E87"/>
    <w:rsid w:val="00CB4FA2"/>
    <w:rsid w:val="00CB50A1"/>
    <w:rsid w:val="00CB558F"/>
    <w:rsid w:val="00CB5938"/>
    <w:rsid w:val="00CB5DF4"/>
    <w:rsid w:val="00CB5DF6"/>
    <w:rsid w:val="00CB653C"/>
    <w:rsid w:val="00CB6C7A"/>
    <w:rsid w:val="00CB7070"/>
    <w:rsid w:val="00CB7D44"/>
    <w:rsid w:val="00CC153A"/>
    <w:rsid w:val="00CC17FF"/>
    <w:rsid w:val="00CC3E0C"/>
    <w:rsid w:val="00CC42AE"/>
    <w:rsid w:val="00CC42AF"/>
    <w:rsid w:val="00CC48F7"/>
    <w:rsid w:val="00CC58D3"/>
    <w:rsid w:val="00CC6A54"/>
    <w:rsid w:val="00CC784D"/>
    <w:rsid w:val="00CC7CF3"/>
    <w:rsid w:val="00CD027E"/>
    <w:rsid w:val="00CD1584"/>
    <w:rsid w:val="00CD16E0"/>
    <w:rsid w:val="00CD281B"/>
    <w:rsid w:val="00CD2FDF"/>
    <w:rsid w:val="00CD3052"/>
    <w:rsid w:val="00CD30CE"/>
    <w:rsid w:val="00CD4143"/>
    <w:rsid w:val="00CD4887"/>
    <w:rsid w:val="00CD6C68"/>
    <w:rsid w:val="00CD6CEA"/>
    <w:rsid w:val="00CD6FF0"/>
    <w:rsid w:val="00CD7351"/>
    <w:rsid w:val="00CD7443"/>
    <w:rsid w:val="00CD758D"/>
    <w:rsid w:val="00CE02B1"/>
    <w:rsid w:val="00CE0F57"/>
    <w:rsid w:val="00CE189D"/>
    <w:rsid w:val="00CE1D64"/>
    <w:rsid w:val="00CE31ED"/>
    <w:rsid w:val="00CE4B68"/>
    <w:rsid w:val="00CE6068"/>
    <w:rsid w:val="00CE64C4"/>
    <w:rsid w:val="00CE67E6"/>
    <w:rsid w:val="00CE7AE7"/>
    <w:rsid w:val="00CF047F"/>
    <w:rsid w:val="00CF0668"/>
    <w:rsid w:val="00CF1F72"/>
    <w:rsid w:val="00CF29A8"/>
    <w:rsid w:val="00CF3117"/>
    <w:rsid w:val="00CF42A3"/>
    <w:rsid w:val="00CF49D5"/>
    <w:rsid w:val="00CF7089"/>
    <w:rsid w:val="00CF7ECC"/>
    <w:rsid w:val="00D002F7"/>
    <w:rsid w:val="00D01BE5"/>
    <w:rsid w:val="00D02DFC"/>
    <w:rsid w:val="00D031B2"/>
    <w:rsid w:val="00D0337B"/>
    <w:rsid w:val="00D03970"/>
    <w:rsid w:val="00D03F91"/>
    <w:rsid w:val="00D04DCE"/>
    <w:rsid w:val="00D06081"/>
    <w:rsid w:val="00D061B2"/>
    <w:rsid w:val="00D06525"/>
    <w:rsid w:val="00D079B2"/>
    <w:rsid w:val="00D114E9"/>
    <w:rsid w:val="00D11AB2"/>
    <w:rsid w:val="00D124FE"/>
    <w:rsid w:val="00D12B60"/>
    <w:rsid w:val="00D13986"/>
    <w:rsid w:val="00D14107"/>
    <w:rsid w:val="00D14FF3"/>
    <w:rsid w:val="00D16F69"/>
    <w:rsid w:val="00D20BA3"/>
    <w:rsid w:val="00D21A84"/>
    <w:rsid w:val="00D21C35"/>
    <w:rsid w:val="00D23543"/>
    <w:rsid w:val="00D23EBF"/>
    <w:rsid w:val="00D25AA1"/>
    <w:rsid w:val="00D267C3"/>
    <w:rsid w:val="00D26834"/>
    <w:rsid w:val="00D26CB0"/>
    <w:rsid w:val="00D2727F"/>
    <w:rsid w:val="00D27C0E"/>
    <w:rsid w:val="00D30FBE"/>
    <w:rsid w:val="00D316C2"/>
    <w:rsid w:val="00D324D8"/>
    <w:rsid w:val="00D325C1"/>
    <w:rsid w:val="00D3448D"/>
    <w:rsid w:val="00D3612D"/>
    <w:rsid w:val="00D366C0"/>
    <w:rsid w:val="00D369E6"/>
    <w:rsid w:val="00D378C9"/>
    <w:rsid w:val="00D37C07"/>
    <w:rsid w:val="00D41286"/>
    <w:rsid w:val="00D41334"/>
    <w:rsid w:val="00D429C6"/>
    <w:rsid w:val="00D433B7"/>
    <w:rsid w:val="00D43639"/>
    <w:rsid w:val="00D44A66"/>
    <w:rsid w:val="00D4572C"/>
    <w:rsid w:val="00D45EC7"/>
    <w:rsid w:val="00D460AA"/>
    <w:rsid w:val="00D46A30"/>
    <w:rsid w:val="00D470BE"/>
    <w:rsid w:val="00D4734D"/>
    <w:rsid w:val="00D47748"/>
    <w:rsid w:val="00D518FA"/>
    <w:rsid w:val="00D5270D"/>
    <w:rsid w:val="00D52F5C"/>
    <w:rsid w:val="00D5440A"/>
    <w:rsid w:val="00D5446B"/>
    <w:rsid w:val="00D54C58"/>
    <w:rsid w:val="00D54CC3"/>
    <w:rsid w:val="00D55757"/>
    <w:rsid w:val="00D55BD4"/>
    <w:rsid w:val="00D56EB4"/>
    <w:rsid w:val="00D57C14"/>
    <w:rsid w:val="00D6041A"/>
    <w:rsid w:val="00D6108E"/>
    <w:rsid w:val="00D613C6"/>
    <w:rsid w:val="00D6199A"/>
    <w:rsid w:val="00D61D09"/>
    <w:rsid w:val="00D6234D"/>
    <w:rsid w:val="00D62DEE"/>
    <w:rsid w:val="00D633EB"/>
    <w:rsid w:val="00D64428"/>
    <w:rsid w:val="00D64C27"/>
    <w:rsid w:val="00D64EDD"/>
    <w:rsid w:val="00D65495"/>
    <w:rsid w:val="00D656A8"/>
    <w:rsid w:val="00D65808"/>
    <w:rsid w:val="00D65D84"/>
    <w:rsid w:val="00D65F1F"/>
    <w:rsid w:val="00D67316"/>
    <w:rsid w:val="00D70300"/>
    <w:rsid w:val="00D715D6"/>
    <w:rsid w:val="00D7203E"/>
    <w:rsid w:val="00D72171"/>
    <w:rsid w:val="00D75F56"/>
    <w:rsid w:val="00D77557"/>
    <w:rsid w:val="00D779FC"/>
    <w:rsid w:val="00D806C4"/>
    <w:rsid w:val="00D81A18"/>
    <w:rsid w:val="00D81C35"/>
    <w:rsid w:val="00D8214E"/>
    <w:rsid w:val="00D828E2"/>
    <w:rsid w:val="00D82FF7"/>
    <w:rsid w:val="00D8358D"/>
    <w:rsid w:val="00D8378C"/>
    <w:rsid w:val="00D83C70"/>
    <w:rsid w:val="00D847FE"/>
    <w:rsid w:val="00D84EE3"/>
    <w:rsid w:val="00D85DA8"/>
    <w:rsid w:val="00D87488"/>
    <w:rsid w:val="00D90A35"/>
    <w:rsid w:val="00D9172E"/>
    <w:rsid w:val="00D91AEF"/>
    <w:rsid w:val="00D92C39"/>
    <w:rsid w:val="00D94B0D"/>
    <w:rsid w:val="00D94EAA"/>
    <w:rsid w:val="00D950AB"/>
    <w:rsid w:val="00D9535B"/>
    <w:rsid w:val="00D95C7C"/>
    <w:rsid w:val="00D964EA"/>
    <w:rsid w:val="00D96647"/>
    <w:rsid w:val="00D966D0"/>
    <w:rsid w:val="00D9772B"/>
    <w:rsid w:val="00DA0468"/>
    <w:rsid w:val="00DA0C59"/>
    <w:rsid w:val="00DA1960"/>
    <w:rsid w:val="00DA2870"/>
    <w:rsid w:val="00DA2D96"/>
    <w:rsid w:val="00DA2FFB"/>
    <w:rsid w:val="00DA3991"/>
    <w:rsid w:val="00DA3EBF"/>
    <w:rsid w:val="00DA3FBD"/>
    <w:rsid w:val="00DA4738"/>
    <w:rsid w:val="00DA4D36"/>
    <w:rsid w:val="00DA4EA1"/>
    <w:rsid w:val="00DA5DCB"/>
    <w:rsid w:val="00DA6488"/>
    <w:rsid w:val="00DA67AB"/>
    <w:rsid w:val="00DA7F94"/>
    <w:rsid w:val="00DB0BD8"/>
    <w:rsid w:val="00DB144F"/>
    <w:rsid w:val="00DB2940"/>
    <w:rsid w:val="00DB45C3"/>
    <w:rsid w:val="00DB5F38"/>
    <w:rsid w:val="00DB6118"/>
    <w:rsid w:val="00DB625C"/>
    <w:rsid w:val="00DB7AAE"/>
    <w:rsid w:val="00DB7E6C"/>
    <w:rsid w:val="00DC1D6B"/>
    <w:rsid w:val="00DC2D14"/>
    <w:rsid w:val="00DC2E13"/>
    <w:rsid w:val="00DC3202"/>
    <w:rsid w:val="00DC369E"/>
    <w:rsid w:val="00DC37D5"/>
    <w:rsid w:val="00DC41AC"/>
    <w:rsid w:val="00DC42B2"/>
    <w:rsid w:val="00DC60CB"/>
    <w:rsid w:val="00DC62FE"/>
    <w:rsid w:val="00DC6704"/>
    <w:rsid w:val="00DC6705"/>
    <w:rsid w:val="00DC6E5C"/>
    <w:rsid w:val="00DC7583"/>
    <w:rsid w:val="00DC7AE5"/>
    <w:rsid w:val="00DD02D5"/>
    <w:rsid w:val="00DD0F43"/>
    <w:rsid w:val="00DD1051"/>
    <w:rsid w:val="00DD186C"/>
    <w:rsid w:val="00DD1BEC"/>
    <w:rsid w:val="00DD2523"/>
    <w:rsid w:val="00DD3129"/>
    <w:rsid w:val="00DD3911"/>
    <w:rsid w:val="00DD501C"/>
    <w:rsid w:val="00DD5A29"/>
    <w:rsid w:val="00DD5D9D"/>
    <w:rsid w:val="00DD7605"/>
    <w:rsid w:val="00DE1360"/>
    <w:rsid w:val="00DE1549"/>
    <w:rsid w:val="00DE160F"/>
    <w:rsid w:val="00DE1A04"/>
    <w:rsid w:val="00DE1B59"/>
    <w:rsid w:val="00DE2231"/>
    <w:rsid w:val="00DE2724"/>
    <w:rsid w:val="00DE342B"/>
    <w:rsid w:val="00DE35CB"/>
    <w:rsid w:val="00DE3D2F"/>
    <w:rsid w:val="00DE40D5"/>
    <w:rsid w:val="00DE4F93"/>
    <w:rsid w:val="00DE50B6"/>
    <w:rsid w:val="00DE5EA7"/>
    <w:rsid w:val="00DE6E77"/>
    <w:rsid w:val="00DE6F2F"/>
    <w:rsid w:val="00DE7A20"/>
    <w:rsid w:val="00DE7C7A"/>
    <w:rsid w:val="00DF04C8"/>
    <w:rsid w:val="00DF0ADA"/>
    <w:rsid w:val="00DF10AD"/>
    <w:rsid w:val="00DF201C"/>
    <w:rsid w:val="00DF21E9"/>
    <w:rsid w:val="00DF246E"/>
    <w:rsid w:val="00DF2DCB"/>
    <w:rsid w:val="00DF4A70"/>
    <w:rsid w:val="00DF59B7"/>
    <w:rsid w:val="00DF61CB"/>
    <w:rsid w:val="00DF655D"/>
    <w:rsid w:val="00DF6B96"/>
    <w:rsid w:val="00DF72E9"/>
    <w:rsid w:val="00DF7BA6"/>
    <w:rsid w:val="00E00C90"/>
    <w:rsid w:val="00E00F14"/>
    <w:rsid w:val="00E03338"/>
    <w:rsid w:val="00E036D6"/>
    <w:rsid w:val="00E0408B"/>
    <w:rsid w:val="00E052C2"/>
    <w:rsid w:val="00E05B7A"/>
    <w:rsid w:val="00E05CDF"/>
    <w:rsid w:val="00E06386"/>
    <w:rsid w:val="00E0639D"/>
    <w:rsid w:val="00E072DF"/>
    <w:rsid w:val="00E07C95"/>
    <w:rsid w:val="00E07DCF"/>
    <w:rsid w:val="00E10677"/>
    <w:rsid w:val="00E115F6"/>
    <w:rsid w:val="00E11D3B"/>
    <w:rsid w:val="00E11FBB"/>
    <w:rsid w:val="00E125F7"/>
    <w:rsid w:val="00E12F5F"/>
    <w:rsid w:val="00E13519"/>
    <w:rsid w:val="00E14C25"/>
    <w:rsid w:val="00E15357"/>
    <w:rsid w:val="00E15D9C"/>
    <w:rsid w:val="00E1608B"/>
    <w:rsid w:val="00E16096"/>
    <w:rsid w:val="00E20134"/>
    <w:rsid w:val="00E204EE"/>
    <w:rsid w:val="00E2114B"/>
    <w:rsid w:val="00E213D2"/>
    <w:rsid w:val="00E21467"/>
    <w:rsid w:val="00E2347A"/>
    <w:rsid w:val="00E238BB"/>
    <w:rsid w:val="00E24EB4"/>
    <w:rsid w:val="00E252AC"/>
    <w:rsid w:val="00E256AD"/>
    <w:rsid w:val="00E259DE"/>
    <w:rsid w:val="00E260D0"/>
    <w:rsid w:val="00E30508"/>
    <w:rsid w:val="00E311E6"/>
    <w:rsid w:val="00E31795"/>
    <w:rsid w:val="00E320A1"/>
    <w:rsid w:val="00E320ED"/>
    <w:rsid w:val="00E327D5"/>
    <w:rsid w:val="00E32B92"/>
    <w:rsid w:val="00E33069"/>
    <w:rsid w:val="00E330DE"/>
    <w:rsid w:val="00E335F9"/>
    <w:rsid w:val="00E33AFB"/>
    <w:rsid w:val="00E34218"/>
    <w:rsid w:val="00E3537C"/>
    <w:rsid w:val="00E3538D"/>
    <w:rsid w:val="00E36A80"/>
    <w:rsid w:val="00E36B30"/>
    <w:rsid w:val="00E4104F"/>
    <w:rsid w:val="00E412B7"/>
    <w:rsid w:val="00E41374"/>
    <w:rsid w:val="00E41C7A"/>
    <w:rsid w:val="00E4225B"/>
    <w:rsid w:val="00E42514"/>
    <w:rsid w:val="00E42D10"/>
    <w:rsid w:val="00E4361E"/>
    <w:rsid w:val="00E4389D"/>
    <w:rsid w:val="00E4407E"/>
    <w:rsid w:val="00E446BA"/>
    <w:rsid w:val="00E44A7A"/>
    <w:rsid w:val="00E44D93"/>
    <w:rsid w:val="00E4575C"/>
    <w:rsid w:val="00E46282"/>
    <w:rsid w:val="00E46717"/>
    <w:rsid w:val="00E46A71"/>
    <w:rsid w:val="00E475B6"/>
    <w:rsid w:val="00E502EB"/>
    <w:rsid w:val="00E506C3"/>
    <w:rsid w:val="00E511D4"/>
    <w:rsid w:val="00E51E42"/>
    <w:rsid w:val="00E5216E"/>
    <w:rsid w:val="00E52C5A"/>
    <w:rsid w:val="00E537A4"/>
    <w:rsid w:val="00E5411C"/>
    <w:rsid w:val="00E54A92"/>
    <w:rsid w:val="00E54FD4"/>
    <w:rsid w:val="00E559BA"/>
    <w:rsid w:val="00E55FC5"/>
    <w:rsid w:val="00E60CE2"/>
    <w:rsid w:val="00E62CE4"/>
    <w:rsid w:val="00E634CB"/>
    <w:rsid w:val="00E63725"/>
    <w:rsid w:val="00E6421E"/>
    <w:rsid w:val="00E64BE9"/>
    <w:rsid w:val="00E662BA"/>
    <w:rsid w:val="00E66FF3"/>
    <w:rsid w:val="00E71E8F"/>
    <w:rsid w:val="00E72811"/>
    <w:rsid w:val="00E72DBC"/>
    <w:rsid w:val="00E74247"/>
    <w:rsid w:val="00E74A47"/>
    <w:rsid w:val="00E75325"/>
    <w:rsid w:val="00E76138"/>
    <w:rsid w:val="00E813A7"/>
    <w:rsid w:val="00E82344"/>
    <w:rsid w:val="00E827E7"/>
    <w:rsid w:val="00E82894"/>
    <w:rsid w:val="00E82CC4"/>
    <w:rsid w:val="00E83C34"/>
    <w:rsid w:val="00E84AA0"/>
    <w:rsid w:val="00E84C82"/>
    <w:rsid w:val="00E84D64"/>
    <w:rsid w:val="00E84E3D"/>
    <w:rsid w:val="00E86BEB"/>
    <w:rsid w:val="00E870CC"/>
    <w:rsid w:val="00E87408"/>
    <w:rsid w:val="00E914C4"/>
    <w:rsid w:val="00E934F5"/>
    <w:rsid w:val="00E940D7"/>
    <w:rsid w:val="00E94A4C"/>
    <w:rsid w:val="00E95E60"/>
    <w:rsid w:val="00E96046"/>
    <w:rsid w:val="00E9608A"/>
    <w:rsid w:val="00E96390"/>
    <w:rsid w:val="00E9689A"/>
    <w:rsid w:val="00E96961"/>
    <w:rsid w:val="00E969F8"/>
    <w:rsid w:val="00E96B4F"/>
    <w:rsid w:val="00E96EFA"/>
    <w:rsid w:val="00E979E8"/>
    <w:rsid w:val="00E97ED6"/>
    <w:rsid w:val="00EA0F3C"/>
    <w:rsid w:val="00EA1626"/>
    <w:rsid w:val="00EA19C2"/>
    <w:rsid w:val="00EA1F21"/>
    <w:rsid w:val="00EA2B25"/>
    <w:rsid w:val="00EA2F23"/>
    <w:rsid w:val="00EA2FF3"/>
    <w:rsid w:val="00EA462C"/>
    <w:rsid w:val="00EA55E1"/>
    <w:rsid w:val="00EA6F50"/>
    <w:rsid w:val="00EA72EC"/>
    <w:rsid w:val="00EA7D2C"/>
    <w:rsid w:val="00EB046D"/>
    <w:rsid w:val="00EB11CB"/>
    <w:rsid w:val="00EB275A"/>
    <w:rsid w:val="00EB2C9A"/>
    <w:rsid w:val="00EB3909"/>
    <w:rsid w:val="00EB458B"/>
    <w:rsid w:val="00EB463B"/>
    <w:rsid w:val="00EB66C4"/>
    <w:rsid w:val="00EB786A"/>
    <w:rsid w:val="00EB78AA"/>
    <w:rsid w:val="00EB7B5B"/>
    <w:rsid w:val="00EB7C45"/>
    <w:rsid w:val="00EB7E96"/>
    <w:rsid w:val="00EC0250"/>
    <w:rsid w:val="00EC0265"/>
    <w:rsid w:val="00EC0700"/>
    <w:rsid w:val="00EC151D"/>
    <w:rsid w:val="00EC1578"/>
    <w:rsid w:val="00EC1A78"/>
    <w:rsid w:val="00EC1C72"/>
    <w:rsid w:val="00EC3616"/>
    <w:rsid w:val="00EC3CC9"/>
    <w:rsid w:val="00EC3D46"/>
    <w:rsid w:val="00EC4D5B"/>
    <w:rsid w:val="00EC52CC"/>
    <w:rsid w:val="00EC5D61"/>
    <w:rsid w:val="00EC62F2"/>
    <w:rsid w:val="00EC680A"/>
    <w:rsid w:val="00EC75E4"/>
    <w:rsid w:val="00EC7EC7"/>
    <w:rsid w:val="00ED0011"/>
    <w:rsid w:val="00ED065E"/>
    <w:rsid w:val="00ED10F5"/>
    <w:rsid w:val="00ED147C"/>
    <w:rsid w:val="00ED1A53"/>
    <w:rsid w:val="00ED2AE6"/>
    <w:rsid w:val="00ED4C09"/>
    <w:rsid w:val="00ED7FF4"/>
    <w:rsid w:val="00EE03D7"/>
    <w:rsid w:val="00EE0CC4"/>
    <w:rsid w:val="00EE0D0A"/>
    <w:rsid w:val="00EE25DC"/>
    <w:rsid w:val="00EE2BED"/>
    <w:rsid w:val="00EE3407"/>
    <w:rsid w:val="00EE348F"/>
    <w:rsid w:val="00EE374B"/>
    <w:rsid w:val="00EE4DDA"/>
    <w:rsid w:val="00EE50AA"/>
    <w:rsid w:val="00EE5156"/>
    <w:rsid w:val="00EE5333"/>
    <w:rsid w:val="00EE57F8"/>
    <w:rsid w:val="00EE67F0"/>
    <w:rsid w:val="00EE77FF"/>
    <w:rsid w:val="00EF01F0"/>
    <w:rsid w:val="00EF0752"/>
    <w:rsid w:val="00EF2017"/>
    <w:rsid w:val="00EF2FFA"/>
    <w:rsid w:val="00EF32AB"/>
    <w:rsid w:val="00EF4E51"/>
    <w:rsid w:val="00EF5BDF"/>
    <w:rsid w:val="00EF64D2"/>
    <w:rsid w:val="00EF678E"/>
    <w:rsid w:val="00EF7493"/>
    <w:rsid w:val="00F00801"/>
    <w:rsid w:val="00F00DBC"/>
    <w:rsid w:val="00F00E6B"/>
    <w:rsid w:val="00F01AC6"/>
    <w:rsid w:val="00F032E6"/>
    <w:rsid w:val="00F039B3"/>
    <w:rsid w:val="00F05DB3"/>
    <w:rsid w:val="00F05F8D"/>
    <w:rsid w:val="00F07E08"/>
    <w:rsid w:val="00F07F08"/>
    <w:rsid w:val="00F1095A"/>
    <w:rsid w:val="00F112CA"/>
    <w:rsid w:val="00F112DA"/>
    <w:rsid w:val="00F11BB5"/>
    <w:rsid w:val="00F124F0"/>
    <w:rsid w:val="00F13185"/>
    <w:rsid w:val="00F13806"/>
    <w:rsid w:val="00F1417B"/>
    <w:rsid w:val="00F143EB"/>
    <w:rsid w:val="00F14E75"/>
    <w:rsid w:val="00F15E0B"/>
    <w:rsid w:val="00F16DB7"/>
    <w:rsid w:val="00F20145"/>
    <w:rsid w:val="00F20255"/>
    <w:rsid w:val="00F202C9"/>
    <w:rsid w:val="00F21053"/>
    <w:rsid w:val="00F22DCC"/>
    <w:rsid w:val="00F22E27"/>
    <w:rsid w:val="00F23D5A"/>
    <w:rsid w:val="00F24A26"/>
    <w:rsid w:val="00F26BAA"/>
    <w:rsid w:val="00F3005C"/>
    <w:rsid w:val="00F303B3"/>
    <w:rsid w:val="00F31C69"/>
    <w:rsid w:val="00F32B2B"/>
    <w:rsid w:val="00F33165"/>
    <w:rsid w:val="00F33620"/>
    <w:rsid w:val="00F34B99"/>
    <w:rsid w:val="00F35D75"/>
    <w:rsid w:val="00F36450"/>
    <w:rsid w:val="00F375C2"/>
    <w:rsid w:val="00F40DC9"/>
    <w:rsid w:val="00F4188D"/>
    <w:rsid w:val="00F41A2C"/>
    <w:rsid w:val="00F41E86"/>
    <w:rsid w:val="00F4359D"/>
    <w:rsid w:val="00F43946"/>
    <w:rsid w:val="00F44E0C"/>
    <w:rsid w:val="00F478A6"/>
    <w:rsid w:val="00F47F1A"/>
    <w:rsid w:val="00F522A9"/>
    <w:rsid w:val="00F52DAB"/>
    <w:rsid w:val="00F5305C"/>
    <w:rsid w:val="00F53C65"/>
    <w:rsid w:val="00F54033"/>
    <w:rsid w:val="00F543F0"/>
    <w:rsid w:val="00F55FCC"/>
    <w:rsid w:val="00F57D76"/>
    <w:rsid w:val="00F60333"/>
    <w:rsid w:val="00F60363"/>
    <w:rsid w:val="00F62653"/>
    <w:rsid w:val="00F62BCD"/>
    <w:rsid w:val="00F63489"/>
    <w:rsid w:val="00F63E3C"/>
    <w:rsid w:val="00F65BB4"/>
    <w:rsid w:val="00F66976"/>
    <w:rsid w:val="00F70B0F"/>
    <w:rsid w:val="00F70B7C"/>
    <w:rsid w:val="00F70BBA"/>
    <w:rsid w:val="00F715CC"/>
    <w:rsid w:val="00F718FA"/>
    <w:rsid w:val="00F71C83"/>
    <w:rsid w:val="00F721D6"/>
    <w:rsid w:val="00F74386"/>
    <w:rsid w:val="00F75AB5"/>
    <w:rsid w:val="00F76054"/>
    <w:rsid w:val="00F7658D"/>
    <w:rsid w:val="00F77742"/>
    <w:rsid w:val="00F77E85"/>
    <w:rsid w:val="00F807E1"/>
    <w:rsid w:val="00F8143D"/>
    <w:rsid w:val="00F81D29"/>
    <w:rsid w:val="00F821D3"/>
    <w:rsid w:val="00F824A1"/>
    <w:rsid w:val="00F8367F"/>
    <w:rsid w:val="00F84F24"/>
    <w:rsid w:val="00F859D8"/>
    <w:rsid w:val="00F87480"/>
    <w:rsid w:val="00F876F9"/>
    <w:rsid w:val="00F87BDE"/>
    <w:rsid w:val="00F87EAC"/>
    <w:rsid w:val="00F900BE"/>
    <w:rsid w:val="00F90DFF"/>
    <w:rsid w:val="00F91855"/>
    <w:rsid w:val="00F91C4D"/>
    <w:rsid w:val="00F91DF3"/>
    <w:rsid w:val="00F92555"/>
    <w:rsid w:val="00F928B6"/>
    <w:rsid w:val="00F92CA5"/>
    <w:rsid w:val="00F92FD9"/>
    <w:rsid w:val="00F930C1"/>
    <w:rsid w:val="00F934A4"/>
    <w:rsid w:val="00F93F46"/>
    <w:rsid w:val="00F94A83"/>
    <w:rsid w:val="00F94DFC"/>
    <w:rsid w:val="00F951F3"/>
    <w:rsid w:val="00F95477"/>
    <w:rsid w:val="00F96FD1"/>
    <w:rsid w:val="00F97D41"/>
    <w:rsid w:val="00FA06C3"/>
    <w:rsid w:val="00FA0C6B"/>
    <w:rsid w:val="00FA193B"/>
    <w:rsid w:val="00FA3699"/>
    <w:rsid w:val="00FA523D"/>
    <w:rsid w:val="00FA541F"/>
    <w:rsid w:val="00FA63F0"/>
    <w:rsid w:val="00FA6684"/>
    <w:rsid w:val="00FA694C"/>
    <w:rsid w:val="00FA731E"/>
    <w:rsid w:val="00FA746B"/>
    <w:rsid w:val="00FB039A"/>
    <w:rsid w:val="00FB0C48"/>
    <w:rsid w:val="00FB0CF3"/>
    <w:rsid w:val="00FB1FE4"/>
    <w:rsid w:val="00FB22C0"/>
    <w:rsid w:val="00FB2B38"/>
    <w:rsid w:val="00FB36AC"/>
    <w:rsid w:val="00FB5128"/>
    <w:rsid w:val="00FB540B"/>
    <w:rsid w:val="00FB546B"/>
    <w:rsid w:val="00FB5576"/>
    <w:rsid w:val="00FB579D"/>
    <w:rsid w:val="00FB5B36"/>
    <w:rsid w:val="00FB616F"/>
    <w:rsid w:val="00FB65F6"/>
    <w:rsid w:val="00FB6845"/>
    <w:rsid w:val="00FB7178"/>
    <w:rsid w:val="00FB733A"/>
    <w:rsid w:val="00FB7FD8"/>
    <w:rsid w:val="00FC0BEC"/>
    <w:rsid w:val="00FC0EDA"/>
    <w:rsid w:val="00FC1AA5"/>
    <w:rsid w:val="00FC1F8E"/>
    <w:rsid w:val="00FC2703"/>
    <w:rsid w:val="00FC2DF2"/>
    <w:rsid w:val="00FC2E14"/>
    <w:rsid w:val="00FC2E9A"/>
    <w:rsid w:val="00FC6358"/>
    <w:rsid w:val="00FC69DB"/>
    <w:rsid w:val="00FC7ED1"/>
    <w:rsid w:val="00FD0202"/>
    <w:rsid w:val="00FD074A"/>
    <w:rsid w:val="00FD100F"/>
    <w:rsid w:val="00FD224F"/>
    <w:rsid w:val="00FD320D"/>
    <w:rsid w:val="00FD3AE0"/>
    <w:rsid w:val="00FD410C"/>
    <w:rsid w:val="00FD441A"/>
    <w:rsid w:val="00FD45B7"/>
    <w:rsid w:val="00FD556E"/>
    <w:rsid w:val="00FD6C5E"/>
    <w:rsid w:val="00FD7C3F"/>
    <w:rsid w:val="00FD7EFB"/>
    <w:rsid w:val="00FD7FE8"/>
    <w:rsid w:val="00FE01D1"/>
    <w:rsid w:val="00FE0D4A"/>
    <w:rsid w:val="00FE10FB"/>
    <w:rsid w:val="00FE23DE"/>
    <w:rsid w:val="00FE2D8F"/>
    <w:rsid w:val="00FE2EB4"/>
    <w:rsid w:val="00FE397A"/>
    <w:rsid w:val="00FE399F"/>
    <w:rsid w:val="00FE39A3"/>
    <w:rsid w:val="00FE39C0"/>
    <w:rsid w:val="00FE43F8"/>
    <w:rsid w:val="00FE4EAF"/>
    <w:rsid w:val="00FE50E3"/>
    <w:rsid w:val="00FE5269"/>
    <w:rsid w:val="00FE5828"/>
    <w:rsid w:val="00FE6269"/>
    <w:rsid w:val="00FE6DAE"/>
    <w:rsid w:val="00FE6DCB"/>
    <w:rsid w:val="00FE6F73"/>
    <w:rsid w:val="00FF06B5"/>
    <w:rsid w:val="00FF17C0"/>
    <w:rsid w:val="00FF1AE1"/>
    <w:rsid w:val="00FF1D60"/>
    <w:rsid w:val="00FF1EB6"/>
    <w:rsid w:val="00FF2218"/>
    <w:rsid w:val="00FF24E2"/>
    <w:rsid w:val="00FF3EE0"/>
    <w:rsid w:val="00FF4215"/>
    <w:rsid w:val="00FF677B"/>
    <w:rsid w:val="00FF7ABE"/>
    <w:rsid w:val="01293462"/>
    <w:rsid w:val="015A22E8"/>
    <w:rsid w:val="025E5CD9"/>
    <w:rsid w:val="06447B5A"/>
    <w:rsid w:val="06507442"/>
    <w:rsid w:val="066409D3"/>
    <w:rsid w:val="06B63DE9"/>
    <w:rsid w:val="073A12EE"/>
    <w:rsid w:val="07AA7769"/>
    <w:rsid w:val="089B4908"/>
    <w:rsid w:val="094C607F"/>
    <w:rsid w:val="0AEA04F5"/>
    <w:rsid w:val="0B4056FC"/>
    <w:rsid w:val="0B874DBE"/>
    <w:rsid w:val="0BB15FC6"/>
    <w:rsid w:val="0BE83ECA"/>
    <w:rsid w:val="0CD1237B"/>
    <w:rsid w:val="0CEB59A1"/>
    <w:rsid w:val="0D523ECD"/>
    <w:rsid w:val="0EF16207"/>
    <w:rsid w:val="11C76D7B"/>
    <w:rsid w:val="11E8181F"/>
    <w:rsid w:val="11EB4164"/>
    <w:rsid w:val="12001D71"/>
    <w:rsid w:val="122324A4"/>
    <w:rsid w:val="124A0395"/>
    <w:rsid w:val="13B15D99"/>
    <w:rsid w:val="13F8070F"/>
    <w:rsid w:val="15C96D69"/>
    <w:rsid w:val="16646DB1"/>
    <w:rsid w:val="186B6BAF"/>
    <w:rsid w:val="196F4160"/>
    <w:rsid w:val="1A1E1271"/>
    <w:rsid w:val="1C040335"/>
    <w:rsid w:val="1C356018"/>
    <w:rsid w:val="1C593B16"/>
    <w:rsid w:val="1D1C78C7"/>
    <w:rsid w:val="1D7B00F0"/>
    <w:rsid w:val="20001D06"/>
    <w:rsid w:val="209D522C"/>
    <w:rsid w:val="21C77F60"/>
    <w:rsid w:val="23310E9E"/>
    <w:rsid w:val="2355768F"/>
    <w:rsid w:val="23600056"/>
    <w:rsid w:val="236A0AA3"/>
    <w:rsid w:val="23F81101"/>
    <w:rsid w:val="23F95333"/>
    <w:rsid w:val="243279D1"/>
    <w:rsid w:val="27D14FCF"/>
    <w:rsid w:val="29AD65FD"/>
    <w:rsid w:val="2A4F7D5F"/>
    <w:rsid w:val="2ACD275B"/>
    <w:rsid w:val="2C3C1EB9"/>
    <w:rsid w:val="2DA8456F"/>
    <w:rsid w:val="2DEE46C7"/>
    <w:rsid w:val="2DFA64F6"/>
    <w:rsid w:val="2E86716E"/>
    <w:rsid w:val="2E9F32CE"/>
    <w:rsid w:val="2FCE738F"/>
    <w:rsid w:val="30527DFE"/>
    <w:rsid w:val="30F620A1"/>
    <w:rsid w:val="3117437C"/>
    <w:rsid w:val="31C82EE8"/>
    <w:rsid w:val="32612937"/>
    <w:rsid w:val="326419C7"/>
    <w:rsid w:val="32AC65EC"/>
    <w:rsid w:val="32BB358B"/>
    <w:rsid w:val="32D25F06"/>
    <w:rsid w:val="32FB456E"/>
    <w:rsid w:val="33505EDB"/>
    <w:rsid w:val="33921ACB"/>
    <w:rsid w:val="33C30645"/>
    <w:rsid w:val="347C372A"/>
    <w:rsid w:val="358F736C"/>
    <w:rsid w:val="35C26FFC"/>
    <w:rsid w:val="396307DF"/>
    <w:rsid w:val="39E95875"/>
    <w:rsid w:val="3A6B550B"/>
    <w:rsid w:val="3B6B1AC2"/>
    <w:rsid w:val="3BA932EE"/>
    <w:rsid w:val="3C045856"/>
    <w:rsid w:val="3C582DA1"/>
    <w:rsid w:val="3EC444C7"/>
    <w:rsid w:val="3ECF097F"/>
    <w:rsid w:val="3F224283"/>
    <w:rsid w:val="3F4C6583"/>
    <w:rsid w:val="3F7D25E4"/>
    <w:rsid w:val="427613A4"/>
    <w:rsid w:val="435A7443"/>
    <w:rsid w:val="44775EF1"/>
    <w:rsid w:val="448C6154"/>
    <w:rsid w:val="44D0140E"/>
    <w:rsid w:val="44FE2186"/>
    <w:rsid w:val="45710ECA"/>
    <w:rsid w:val="46B95C71"/>
    <w:rsid w:val="46EA3161"/>
    <w:rsid w:val="479907DA"/>
    <w:rsid w:val="493039B7"/>
    <w:rsid w:val="494475C2"/>
    <w:rsid w:val="49795B36"/>
    <w:rsid w:val="49830B48"/>
    <w:rsid w:val="49AF724A"/>
    <w:rsid w:val="49B23117"/>
    <w:rsid w:val="4C0C5293"/>
    <w:rsid w:val="4C746529"/>
    <w:rsid w:val="4CCE299C"/>
    <w:rsid w:val="4D4C0337"/>
    <w:rsid w:val="4DEA2284"/>
    <w:rsid w:val="4E451FDC"/>
    <w:rsid w:val="4EE6217C"/>
    <w:rsid w:val="4EFC20F1"/>
    <w:rsid w:val="4F052E78"/>
    <w:rsid w:val="4FC26A17"/>
    <w:rsid w:val="51456F8F"/>
    <w:rsid w:val="53C07FA1"/>
    <w:rsid w:val="54116E51"/>
    <w:rsid w:val="54313C23"/>
    <w:rsid w:val="544C3AA0"/>
    <w:rsid w:val="568F19A2"/>
    <w:rsid w:val="5700241B"/>
    <w:rsid w:val="58594A1F"/>
    <w:rsid w:val="586A0C50"/>
    <w:rsid w:val="589C1F2D"/>
    <w:rsid w:val="5A307DA7"/>
    <w:rsid w:val="5A63247B"/>
    <w:rsid w:val="5AD5227A"/>
    <w:rsid w:val="5B5373B0"/>
    <w:rsid w:val="5B7C38DC"/>
    <w:rsid w:val="5C89392A"/>
    <w:rsid w:val="5CDF1948"/>
    <w:rsid w:val="5DAD529A"/>
    <w:rsid w:val="5E621344"/>
    <w:rsid w:val="5ECE63A9"/>
    <w:rsid w:val="5F5D48C3"/>
    <w:rsid w:val="5FC6665F"/>
    <w:rsid w:val="613912B4"/>
    <w:rsid w:val="63654B01"/>
    <w:rsid w:val="63984F2F"/>
    <w:rsid w:val="63FB442A"/>
    <w:rsid w:val="64AB2CB8"/>
    <w:rsid w:val="64B143EC"/>
    <w:rsid w:val="65496412"/>
    <w:rsid w:val="65832A13"/>
    <w:rsid w:val="65CD41E7"/>
    <w:rsid w:val="67146963"/>
    <w:rsid w:val="67C02CBF"/>
    <w:rsid w:val="68D93531"/>
    <w:rsid w:val="69F11E82"/>
    <w:rsid w:val="6A154A4F"/>
    <w:rsid w:val="6A163F7A"/>
    <w:rsid w:val="6A62031D"/>
    <w:rsid w:val="6AA576D3"/>
    <w:rsid w:val="6AED777A"/>
    <w:rsid w:val="6CBE0AA8"/>
    <w:rsid w:val="6CF76C25"/>
    <w:rsid w:val="6D686D69"/>
    <w:rsid w:val="6DF84908"/>
    <w:rsid w:val="6E924913"/>
    <w:rsid w:val="709614EC"/>
    <w:rsid w:val="70D11AE5"/>
    <w:rsid w:val="71433707"/>
    <w:rsid w:val="731C7E7E"/>
    <w:rsid w:val="73FD45ED"/>
    <w:rsid w:val="746F1200"/>
    <w:rsid w:val="75DA1906"/>
    <w:rsid w:val="75F73B3D"/>
    <w:rsid w:val="766F145A"/>
    <w:rsid w:val="775E0B03"/>
    <w:rsid w:val="7A234892"/>
    <w:rsid w:val="7A605EE2"/>
    <w:rsid w:val="7C385501"/>
    <w:rsid w:val="7CCB17CA"/>
    <w:rsid w:val="7D26436E"/>
    <w:rsid w:val="7EAB369E"/>
    <w:rsid w:val="7F0D2C74"/>
    <w:rsid w:val="7FDF88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7"/>
    <w:autoRedefine/>
    <w:qFormat/>
    <w:locked/>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68"/>
    <w:autoRedefine/>
    <w:qFormat/>
    <w:locked/>
    <w:uiPriority w:val="0"/>
    <w:pPr>
      <w:keepNext/>
      <w:keepLines/>
      <w:tabs>
        <w:tab w:val="left" w:pos="1400"/>
      </w:tabs>
      <w:spacing w:before="260" w:after="260" w:line="416" w:lineRule="auto"/>
      <w:ind w:left="1400" w:hanging="420"/>
      <w:outlineLvl w:val="1"/>
    </w:pPr>
    <w:rPr>
      <w:rFonts w:ascii="Arial" w:hAnsi="Arial" w:eastAsia="黑体"/>
      <w:b/>
      <w:bCs/>
      <w:sz w:val="32"/>
      <w:szCs w:val="32"/>
    </w:rPr>
  </w:style>
  <w:style w:type="paragraph" w:styleId="4">
    <w:name w:val="heading 3"/>
    <w:basedOn w:val="1"/>
    <w:next w:val="1"/>
    <w:link w:val="169"/>
    <w:autoRedefine/>
    <w:qFormat/>
    <w:locked/>
    <w:uiPriority w:val="0"/>
    <w:pPr>
      <w:keepNext/>
      <w:keepLines/>
      <w:spacing w:before="260" w:after="260" w:line="416" w:lineRule="auto"/>
      <w:outlineLvl w:val="2"/>
    </w:pPr>
    <w:rPr>
      <w:b/>
      <w:bCs/>
      <w:sz w:val="32"/>
      <w:szCs w:val="32"/>
    </w:rPr>
  </w:style>
  <w:style w:type="paragraph" w:styleId="5">
    <w:name w:val="heading 4"/>
    <w:basedOn w:val="1"/>
    <w:next w:val="1"/>
    <w:link w:val="170"/>
    <w:autoRedefine/>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71"/>
    <w:autoRedefine/>
    <w:qFormat/>
    <w:locked/>
    <w:uiPriority w:val="0"/>
    <w:pPr>
      <w:keepNext/>
      <w:keepLines/>
      <w:spacing w:before="280" w:after="290" w:line="376" w:lineRule="auto"/>
      <w:outlineLvl w:val="4"/>
    </w:pPr>
    <w:rPr>
      <w:b/>
      <w:bCs/>
      <w:sz w:val="28"/>
      <w:szCs w:val="28"/>
    </w:rPr>
  </w:style>
  <w:style w:type="paragraph" w:styleId="7">
    <w:name w:val="heading 6"/>
    <w:basedOn w:val="1"/>
    <w:next w:val="1"/>
    <w:link w:val="172"/>
    <w:autoRedefine/>
    <w:qFormat/>
    <w:locked/>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73"/>
    <w:autoRedefine/>
    <w:qFormat/>
    <w:locked/>
    <w:uiPriority w:val="0"/>
    <w:pPr>
      <w:keepNext/>
      <w:keepLines/>
      <w:spacing w:before="240" w:after="64" w:line="320" w:lineRule="auto"/>
      <w:outlineLvl w:val="6"/>
    </w:pPr>
    <w:rPr>
      <w:b/>
      <w:bCs/>
      <w:sz w:val="24"/>
    </w:rPr>
  </w:style>
  <w:style w:type="paragraph" w:styleId="9">
    <w:name w:val="heading 8"/>
    <w:basedOn w:val="1"/>
    <w:next w:val="1"/>
    <w:link w:val="174"/>
    <w:autoRedefine/>
    <w:qFormat/>
    <w:locked/>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75"/>
    <w:autoRedefine/>
    <w:qFormat/>
    <w:locked/>
    <w:uiPriority w:val="0"/>
    <w:pPr>
      <w:keepNext/>
      <w:keepLines/>
      <w:spacing w:before="240" w:after="64" w:line="320" w:lineRule="auto"/>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12">
    <w:name w:val="index 8"/>
    <w:basedOn w:val="1"/>
    <w:next w:val="1"/>
    <w:autoRedefine/>
    <w:qFormat/>
    <w:uiPriority w:val="0"/>
    <w:pPr>
      <w:ind w:left="1680" w:hanging="210"/>
      <w:jc w:val="left"/>
    </w:pPr>
    <w:rPr>
      <w:rFonts w:ascii="Calibri" w:hAnsi="Calibri"/>
      <w:sz w:val="20"/>
      <w:szCs w:val="20"/>
    </w:rPr>
  </w:style>
  <w:style w:type="paragraph" w:styleId="13">
    <w:name w:val="Normal Indent"/>
    <w:basedOn w:val="1"/>
    <w:autoRedefine/>
    <w:qFormat/>
    <w:uiPriority w:val="0"/>
    <w:pPr>
      <w:ind w:firstLine="420"/>
    </w:p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index 5"/>
    <w:basedOn w:val="1"/>
    <w:next w:val="1"/>
    <w:autoRedefine/>
    <w:qFormat/>
    <w:uiPriority w:val="0"/>
    <w:pPr>
      <w:ind w:left="1050" w:hanging="210"/>
      <w:jc w:val="left"/>
    </w:pPr>
    <w:rPr>
      <w:rFonts w:ascii="Calibri" w:hAnsi="Calibri"/>
      <w:sz w:val="20"/>
      <w:szCs w:val="20"/>
    </w:rPr>
  </w:style>
  <w:style w:type="paragraph" w:styleId="16">
    <w:name w:val="Document Map"/>
    <w:basedOn w:val="1"/>
    <w:link w:val="151"/>
    <w:autoRedefine/>
    <w:semiHidden/>
    <w:qFormat/>
    <w:uiPriority w:val="0"/>
    <w:pPr>
      <w:shd w:val="clear" w:color="auto" w:fill="000080"/>
    </w:pPr>
  </w:style>
  <w:style w:type="paragraph" w:styleId="17">
    <w:name w:val="annotation text"/>
    <w:basedOn w:val="1"/>
    <w:link w:val="179"/>
    <w:autoRedefine/>
    <w:semiHidden/>
    <w:qFormat/>
    <w:uiPriority w:val="0"/>
    <w:pPr>
      <w:jc w:val="left"/>
    </w:pPr>
  </w:style>
  <w:style w:type="paragraph" w:styleId="18">
    <w:name w:val="index 6"/>
    <w:basedOn w:val="1"/>
    <w:next w:val="1"/>
    <w:autoRedefine/>
    <w:qFormat/>
    <w:uiPriority w:val="0"/>
    <w:pPr>
      <w:ind w:left="1260" w:hanging="210"/>
      <w:jc w:val="left"/>
    </w:pPr>
    <w:rPr>
      <w:rFonts w:ascii="Calibri" w:hAnsi="Calibri"/>
      <w:sz w:val="20"/>
      <w:szCs w:val="20"/>
    </w:rPr>
  </w:style>
  <w:style w:type="paragraph" w:styleId="19">
    <w:name w:val="Body Text"/>
    <w:basedOn w:val="1"/>
    <w:link w:val="243"/>
    <w:autoRedefine/>
    <w:qFormat/>
    <w:uiPriority w:val="0"/>
    <w:pPr>
      <w:spacing w:after="120"/>
    </w:pPr>
  </w:style>
  <w:style w:type="paragraph" w:styleId="20">
    <w:name w:val="Body Text Indent"/>
    <w:basedOn w:val="1"/>
    <w:link w:val="244"/>
    <w:autoRedefine/>
    <w:qFormat/>
    <w:uiPriority w:val="0"/>
    <w:pPr>
      <w:spacing w:after="120"/>
      <w:ind w:left="420" w:leftChars="200"/>
    </w:pPr>
  </w:style>
  <w:style w:type="paragraph" w:styleId="21">
    <w:name w:val="HTML Address"/>
    <w:basedOn w:val="1"/>
    <w:link w:val="236"/>
    <w:autoRedefine/>
    <w:qFormat/>
    <w:uiPriority w:val="0"/>
    <w:rPr>
      <w:i/>
      <w:iCs/>
    </w:rPr>
  </w:style>
  <w:style w:type="paragraph" w:styleId="22">
    <w:name w:val="index 4"/>
    <w:basedOn w:val="1"/>
    <w:next w:val="1"/>
    <w:autoRedefine/>
    <w:qFormat/>
    <w:uiPriority w:val="0"/>
    <w:pPr>
      <w:ind w:left="840" w:hanging="210"/>
      <w:jc w:val="left"/>
    </w:pPr>
    <w:rPr>
      <w:rFonts w:ascii="Calibri" w:hAnsi="Calibri"/>
      <w:sz w:val="20"/>
      <w:szCs w:val="20"/>
    </w:rPr>
  </w:style>
  <w:style w:type="paragraph" w:styleId="23">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24">
    <w:name w:val="toc 3"/>
    <w:basedOn w:val="1"/>
    <w:next w:val="1"/>
    <w:autoRedefine/>
    <w:qFormat/>
    <w:uiPriority w:val="39"/>
    <w:pPr>
      <w:tabs>
        <w:tab w:val="right" w:leader="dot" w:pos="9241"/>
      </w:tabs>
      <w:ind w:firstLine="102" w:firstLineChars="100"/>
      <w:jc w:val="left"/>
    </w:pPr>
    <w:rPr>
      <w:rFonts w:ascii="宋体"/>
      <w:szCs w:val="21"/>
    </w:rPr>
  </w:style>
  <w:style w:type="paragraph" w:styleId="25">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26">
    <w:name w:val="index 3"/>
    <w:basedOn w:val="1"/>
    <w:next w:val="1"/>
    <w:autoRedefine/>
    <w:qFormat/>
    <w:uiPriority w:val="0"/>
    <w:pPr>
      <w:ind w:left="630" w:hanging="210"/>
      <w:jc w:val="left"/>
    </w:pPr>
    <w:rPr>
      <w:rFonts w:ascii="Calibri" w:hAnsi="Calibri"/>
      <w:sz w:val="20"/>
      <w:szCs w:val="20"/>
    </w:rPr>
  </w:style>
  <w:style w:type="paragraph" w:styleId="27">
    <w:name w:val="Date"/>
    <w:basedOn w:val="1"/>
    <w:next w:val="1"/>
    <w:link w:val="245"/>
    <w:autoRedefine/>
    <w:qFormat/>
    <w:uiPriority w:val="0"/>
    <w:pPr>
      <w:ind w:left="100" w:leftChars="2500"/>
    </w:pPr>
    <w:rPr>
      <w:sz w:val="28"/>
    </w:rPr>
  </w:style>
  <w:style w:type="paragraph" w:styleId="28">
    <w:name w:val="endnote text"/>
    <w:basedOn w:val="1"/>
    <w:link w:val="150"/>
    <w:autoRedefine/>
    <w:semiHidden/>
    <w:qFormat/>
    <w:uiPriority w:val="0"/>
    <w:pPr>
      <w:snapToGrid w:val="0"/>
      <w:jc w:val="left"/>
    </w:pPr>
  </w:style>
  <w:style w:type="paragraph" w:styleId="29">
    <w:name w:val="Balloon Text"/>
    <w:basedOn w:val="1"/>
    <w:link w:val="178"/>
    <w:autoRedefine/>
    <w:semiHidden/>
    <w:qFormat/>
    <w:uiPriority w:val="0"/>
    <w:rPr>
      <w:sz w:val="18"/>
      <w:szCs w:val="18"/>
    </w:rPr>
  </w:style>
  <w:style w:type="paragraph" w:styleId="30">
    <w:name w:val="footer"/>
    <w:basedOn w:val="1"/>
    <w:link w:val="81"/>
    <w:autoRedefine/>
    <w:qFormat/>
    <w:uiPriority w:val="99"/>
    <w:pPr>
      <w:snapToGrid w:val="0"/>
      <w:ind w:right="210" w:rightChars="100"/>
      <w:jc w:val="right"/>
    </w:pPr>
    <w:rPr>
      <w:sz w:val="18"/>
      <w:szCs w:val="18"/>
    </w:rPr>
  </w:style>
  <w:style w:type="paragraph" w:styleId="31">
    <w:name w:val="header"/>
    <w:basedOn w:val="1"/>
    <w:link w:val="82"/>
    <w:autoRedefine/>
    <w:qFormat/>
    <w:uiPriority w:val="0"/>
    <w:pPr>
      <w:snapToGrid w:val="0"/>
      <w:jc w:val="left"/>
    </w:pPr>
    <w:rPr>
      <w:sz w:val="18"/>
      <w:szCs w:val="18"/>
    </w:rPr>
  </w:style>
  <w:style w:type="paragraph" w:styleId="32">
    <w:name w:val="toc 1"/>
    <w:basedOn w:val="1"/>
    <w:next w:val="1"/>
    <w:autoRedefine/>
    <w:qFormat/>
    <w:uiPriority w:val="39"/>
    <w:pPr>
      <w:tabs>
        <w:tab w:val="right" w:leader="dot" w:pos="9241"/>
      </w:tabs>
      <w:spacing w:beforeLines="25" w:afterLines="25"/>
      <w:jc w:val="left"/>
    </w:pPr>
    <w:rPr>
      <w:rFonts w:ascii="宋体"/>
      <w:szCs w:val="21"/>
    </w:rPr>
  </w:style>
  <w:style w:type="paragraph" w:styleId="33">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34">
    <w:name w:val="index heading"/>
    <w:basedOn w:val="1"/>
    <w:next w:val="35"/>
    <w:autoRedefine/>
    <w:qFormat/>
    <w:uiPriority w:val="0"/>
    <w:pPr>
      <w:spacing w:before="120" w:after="120"/>
      <w:jc w:val="center"/>
    </w:pPr>
    <w:rPr>
      <w:rFonts w:ascii="Calibri" w:hAnsi="Calibri"/>
      <w:b/>
      <w:bCs/>
      <w:iCs/>
      <w:szCs w:val="20"/>
    </w:rPr>
  </w:style>
  <w:style w:type="paragraph" w:styleId="35">
    <w:name w:val="index 1"/>
    <w:basedOn w:val="1"/>
    <w:next w:val="36"/>
    <w:autoRedefine/>
    <w:qFormat/>
    <w:uiPriority w:val="0"/>
    <w:pPr>
      <w:tabs>
        <w:tab w:val="right" w:leader="dot" w:pos="9299"/>
      </w:tabs>
      <w:jc w:val="left"/>
    </w:pPr>
    <w:rPr>
      <w:rFonts w:ascii="宋体"/>
      <w:szCs w:val="21"/>
    </w:rPr>
  </w:style>
  <w:style w:type="paragraph" w:customStyle="1" w:styleId="36">
    <w:name w:val="段"/>
    <w:link w:val="6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7">
    <w:name w:val="footnote text"/>
    <w:basedOn w:val="1"/>
    <w:link w:val="132"/>
    <w:autoRedefine/>
    <w:qFormat/>
    <w:uiPriority w:val="0"/>
    <w:pPr>
      <w:numPr>
        <w:ilvl w:val="0"/>
        <w:numId w:val="2"/>
      </w:numPr>
      <w:snapToGrid w:val="0"/>
      <w:jc w:val="left"/>
    </w:pPr>
    <w:rPr>
      <w:rFonts w:ascii="宋体"/>
      <w:sz w:val="18"/>
      <w:szCs w:val="18"/>
    </w:rPr>
  </w:style>
  <w:style w:type="paragraph" w:styleId="38">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39">
    <w:name w:val="index 7"/>
    <w:basedOn w:val="1"/>
    <w:next w:val="1"/>
    <w:autoRedefine/>
    <w:qFormat/>
    <w:uiPriority w:val="0"/>
    <w:pPr>
      <w:ind w:left="1470" w:hanging="210"/>
      <w:jc w:val="left"/>
    </w:pPr>
    <w:rPr>
      <w:rFonts w:ascii="Calibri" w:hAnsi="Calibri"/>
      <w:sz w:val="20"/>
      <w:szCs w:val="20"/>
    </w:rPr>
  </w:style>
  <w:style w:type="paragraph" w:styleId="40">
    <w:name w:val="index 9"/>
    <w:basedOn w:val="1"/>
    <w:next w:val="1"/>
    <w:autoRedefine/>
    <w:qFormat/>
    <w:uiPriority w:val="0"/>
    <w:pPr>
      <w:ind w:left="1890" w:hanging="210"/>
      <w:jc w:val="left"/>
    </w:pPr>
    <w:rPr>
      <w:rFonts w:ascii="Calibri" w:hAnsi="Calibri"/>
      <w:sz w:val="20"/>
      <w:szCs w:val="20"/>
    </w:rPr>
  </w:style>
  <w:style w:type="paragraph" w:styleId="41">
    <w:name w:val="toc 2"/>
    <w:basedOn w:val="1"/>
    <w:next w:val="1"/>
    <w:autoRedefine/>
    <w:qFormat/>
    <w:uiPriority w:val="39"/>
    <w:pPr>
      <w:tabs>
        <w:tab w:val="right" w:leader="dot" w:pos="9241"/>
      </w:tabs>
    </w:pPr>
    <w:rPr>
      <w:rFonts w:ascii="宋体"/>
      <w:szCs w:val="21"/>
    </w:rPr>
  </w:style>
  <w:style w:type="paragraph" w:styleId="42">
    <w:name w:val="toc 9"/>
    <w:basedOn w:val="1"/>
    <w:next w:val="1"/>
    <w:autoRedefine/>
    <w:semiHidden/>
    <w:qFormat/>
    <w:uiPriority w:val="0"/>
    <w:pPr>
      <w:ind w:left="1470"/>
      <w:jc w:val="left"/>
    </w:pPr>
    <w:rPr>
      <w:sz w:val="20"/>
      <w:szCs w:val="20"/>
    </w:rPr>
  </w:style>
  <w:style w:type="paragraph" w:styleId="43">
    <w:name w:val="HTML Preformatted"/>
    <w:basedOn w:val="1"/>
    <w:link w:val="237"/>
    <w:autoRedefine/>
    <w:qFormat/>
    <w:uiPriority w:val="0"/>
    <w:rPr>
      <w:rFonts w:ascii="Courier New" w:hAnsi="Courier New" w:cs="Courier New"/>
      <w:sz w:val="20"/>
      <w:szCs w:val="20"/>
    </w:rPr>
  </w:style>
  <w:style w:type="paragraph" w:styleId="44">
    <w:name w:val="index 2"/>
    <w:basedOn w:val="1"/>
    <w:next w:val="1"/>
    <w:autoRedefine/>
    <w:qFormat/>
    <w:uiPriority w:val="0"/>
    <w:pPr>
      <w:ind w:left="420" w:hanging="210"/>
      <w:jc w:val="left"/>
    </w:pPr>
    <w:rPr>
      <w:rFonts w:ascii="Calibri" w:hAnsi="Calibri"/>
      <w:sz w:val="20"/>
      <w:szCs w:val="20"/>
    </w:rPr>
  </w:style>
  <w:style w:type="paragraph" w:styleId="45">
    <w:name w:val="Title"/>
    <w:basedOn w:val="1"/>
    <w:link w:val="238"/>
    <w:autoRedefine/>
    <w:qFormat/>
    <w:locked/>
    <w:uiPriority w:val="0"/>
    <w:pPr>
      <w:spacing w:before="240" w:after="60"/>
      <w:jc w:val="center"/>
      <w:outlineLvl w:val="0"/>
    </w:pPr>
    <w:rPr>
      <w:rFonts w:ascii="Arial" w:hAnsi="Arial" w:cs="Arial"/>
      <w:b/>
      <w:bCs/>
      <w:sz w:val="32"/>
      <w:szCs w:val="32"/>
    </w:rPr>
  </w:style>
  <w:style w:type="paragraph" w:styleId="46">
    <w:name w:val="annotation subject"/>
    <w:basedOn w:val="17"/>
    <w:next w:val="17"/>
    <w:link w:val="180"/>
    <w:autoRedefine/>
    <w:semiHidden/>
    <w:qFormat/>
    <w:uiPriority w:val="0"/>
    <w:rPr>
      <w:b/>
      <w:bCs/>
    </w:rPr>
  </w:style>
  <w:style w:type="table" w:styleId="48">
    <w:name w:val="Table Grid"/>
    <w:basedOn w:val="47"/>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9">
    <w:name w:val="Table Grid 2"/>
    <w:basedOn w:val="47"/>
    <w:autoRedefine/>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51">
    <w:name w:val="endnote reference"/>
    <w:autoRedefine/>
    <w:semiHidden/>
    <w:qFormat/>
    <w:uiPriority w:val="0"/>
    <w:rPr>
      <w:rFonts w:cs="Times New Roman"/>
      <w:vertAlign w:val="superscript"/>
    </w:rPr>
  </w:style>
  <w:style w:type="character" w:styleId="52">
    <w:name w:val="page number"/>
    <w:autoRedefine/>
    <w:qFormat/>
    <w:uiPriority w:val="0"/>
    <w:rPr>
      <w:rFonts w:ascii="Times New Roman" w:hAnsi="Times New Roman" w:eastAsia="宋体" w:cs="Times New Roman"/>
      <w:sz w:val="18"/>
    </w:rPr>
  </w:style>
  <w:style w:type="character" w:styleId="53">
    <w:name w:val="FollowedHyperlink"/>
    <w:autoRedefine/>
    <w:qFormat/>
    <w:uiPriority w:val="99"/>
    <w:rPr>
      <w:rFonts w:cs="Times New Roman"/>
      <w:color w:val="800080"/>
      <w:u w:val="single"/>
    </w:rPr>
  </w:style>
  <w:style w:type="character" w:styleId="54">
    <w:name w:val="HTML Definition"/>
    <w:autoRedefine/>
    <w:qFormat/>
    <w:uiPriority w:val="0"/>
    <w:rPr>
      <w:i/>
      <w:iCs/>
    </w:rPr>
  </w:style>
  <w:style w:type="character" w:styleId="55">
    <w:name w:val="HTML Typewriter"/>
    <w:autoRedefine/>
    <w:qFormat/>
    <w:uiPriority w:val="0"/>
    <w:rPr>
      <w:rFonts w:ascii="Courier New" w:hAnsi="Courier New"/>
      <w:sz w:val="20"/>
      <w:szCs w:val="20"/>
    </w:rPr>
  </w:style>
  <w:style w:type="character" w:styleId="56">
    <w:name w:val="HTML Acronym"/>
    <w:autoRedefine/>
    <w:qFormat/>
    <w:uiPriority w:val="0"/>
  </w:style>
  <w:style w:type="character" w:styleId="57">
    <w:name w:val="HTML Variable"/>
    <w:autoRedefine/>
    <w:qFormat/>
    <w:uiPriority w:val="0"/>
    <w:rPr>
      <w:i/>
      <w:iCs/>
    </w:rPr>
  </w:style>
  <w:style w:type="character" w:styleId="58">
    <w:name w:val="Hyperlink"/>
    <w:autoRedefine/>
    <w:qFormat/>
    <w:uiPriority w:val="99"/>
    <w:rPr>
      <w:rFonts w:cs="Times New Roman"/>
      <w:color w:val="0000FF"/>
      <w:spacing w:val="0"/>
      <w:w w:val="100"/>
      <w:sz w:val="21"/>
      <w:szCs w:val="21"/>
      <w:u w:val="single"/>
    </w:rPr>
  </w:style>
  <w:style w:type="character" w:styleId="59">
    <w:name w:val="HTML Code"/>
    <w:autoRedefine/>
    <w:qFormat/>
    <w:uiPriority w:val="0"/>
    <w:rPr>
      <w:rFonts w:ascii="Courier New" w:hAnsi="Courier New"/>
      <w:sz w:val="20"/>
      <w:szCs w:val="20"/>
    </w:rPr>
  </w:style>
  <w:style w:type="character" w:styleId="60">
    <w:name w:val="annotation reference"/>
    <w:autoRedefine/>
    <w:semiHidden/>
    <w:qFormat/>
    <w:uiPriority w:val="0"/>
    <w:rPr>
      <w:sz w:val="21"/>
      <w:szCs w:val="21"/>
    </w:rPr>
  </w:style>
  <w:style w:type="character" w:styleId="61">
    <w:name w:val="HTML Cite"/>
    <w:autoRedefine/>
    <w:qFormat/>
    <w:uiPriority w:val="0"/>
    <w:rPr>
      <w:i/>
      <w:iCs/>
    </w:rPr>
  </w:style>
  <w:style w:type="character" w:styleId="62">
    <w:name w:val="footnote reference"/>
    <w:autoRedefine/>
    <w:semiHidden/>
    <w:qFormat/>
    <w:uiPriority w:val="0"/>
    <w:rPr>
      <w:rFonts w:cs="Times New Roman"/>
      <w:vertAlign w:val="superscript"/>
    </w:rPr>
  </w:style>
  <w:style w:type="character" w:styleId="63">
    <w:name w:val="HTML Keyboard"/>
    <w:autoRedefine/>
    <w:qFormat/>
    <w:uiPriority w:val="0"/>
    <w:rPr>
      <w:rFonts w:ascii="Courier New" w:hAnsi="Courier New"/>
      <w:sz w:val="20"/>
      <w:szCs w:val="20"/>
    </w:rPr>
  </w:style>
  <w:style w:type="character" w:styleId="64">
    <w:name w:val="HTML Sample"/>
    <w:autoRedefine/>
    <w:qFormat/>
    <w:uiPriority w:val="0"/>
    <w:rPr>
      <w:rFonts w:ascii="Courier New" w:hAnsi="Courier New"/>
    </w:rPr>
  </w:style>
  <w:style w:type="character" w:customStyle="1" w:styleId="65">
    <w:name w:val="段 Char"/>
    <w:link w:val="36"/>
    <w:autoRedefine/>
    <w:qFormat/>
    <w:locked/>
    <w:uiPriority w:val="0"/>
    <w:rPr>
      <w:rFonts w:ascii="宋体"/>
      <w:sz w:val="21"/>
      <w:lang w:val="en-US" w:eastAsia="zh-CN" w:bidi="ar-SA"/>
    </w:rPr>
  </w:style>
  <w:style w:type="paragraph" w:customStyle="1" w:styleId="66">
    <w:name w:val="一级条标题"/>
    <w:next w:val="36"/>
    <w:autoRedefine/>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6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8">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9">
    <w:name w:val="章标题"/>
    <w:next w:val="36"/>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70">
    <w:name w:val="二级条标题"/>
    <w:basedOn w:val="66"/>
    <w:next w:val="36"/>
    <w:autoRedefine/>
    <w:qFormat/>
    <w:uiPriority w:val="0"/>
    <w:pPr>
      <w:numPr>
        <w:ilvl w:val="2"/>
      </w:numPr>
      <w:spacing w:before="50" w:after="50"/>
      <w:outlineLvl w:val="3"/>
    </w:pPr>
  </w:style>
  <w:style w:type="paragraph" w:customStyle="1" w:styleId="71">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2">
    <w:name w:val="列项——（一级）"/>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73">
    <w:name w:val="列项●（二级）"/>
    <w:autoRedefine/>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4">
    <w:name w:val="目次、标准名称标题"/>
    <w:basedOn w:val="1"/>
    <w:next w:val="36"/>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5">
    <w:name w:val="三级条标题"/>
    <w:basedOn w:val="70"/>
    <w:next w:val="36"/>
    <w:autoRedefine/>
    <w:qFormat/>
    <w:uiPriority w:val="0"/>
    <w:pPr>
      <w:numPr>
        <w:ilvl w:val="3"/>
      </w:numPr>
      <w:outlineLvl w:val="4"/>
    </w:pPr>
  </w:style>
  <w:style w:type="paragraph" w:customStyle="1" w:styleId="76">
    <w:name w:val="示例"/>
    <w:next w:val="77"/>
    <w:autoRedefine/>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77">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78">
    <w:name w:val="数字编号列项（二级）"/>
    <w:autoRedefine/>
    <w:qFormat/>
    <w:uiPriority w:val="0"/>
    <w:pPr>
      <w:numPr>
        <w:ilvl w:val="1"/>
        <w:numId w:val="6"/>
      </w:numPr>
      <w:jc w:val="both"/>
    </w:pPr>
    <w:rPr>
      <w:rFonts w:ascii="宋体" w:hAnsi="Times New Roman" w:eastAsia="宋体" w:cs="Times New Roman"/>
      <w:sz w:val="21"/>
      <w:lang w:val="en-US" w:eastAsia="zh-CN" w:bidi="ar-SA"/>
    </w:rPr>
  </w:style>
  <w:style w:type="paragraph" w:customStyle="1" w:styleId="79">
    <w:name w:val="四级条标题"/>
    <w:basedOn w:val="75"/>
    <w:next w:val="36"/>
    <w:autoRedefine/>
    <w:qFormat/>
    <w:uiPriority w:val="0"/>
    <w:pPr>
      <w:numPr>
        <w:ilvl w:val="4"/>
      </w:numPr>
      <w:outlineLvl w:val="5"/>
    </w:pPr>
  </w:style>
  <w:style w:type="paragraph" w:customStyle="1" w:styleId="80">
    <w:name w:val="五级条标题"/>
    <w:basedOn w:val="79"/>
    <w:next w:val="36"/>
    <w:autoRedefine/>
    <w:qFormat/>
    <w:uiPriority w:val="0"/>
    <w:pPr>
      <w:numPr>
        <w:ilvl w:val="5"/>
      </w:numPr>
      <w:outlineLvl w:val="6"/>
    </w:pPr>
  </w:style>
  <w:style w:type="character" w:customStyle="1" w:styleId="81">
    <w:name w:val="页脚 Char"/>
    <w:link w:val="30"/>
    <w:autoRedefine/>
    <w:qFormat/>
    <w:locked/>
    <w:uiPriority w:val="99"/>
    <w:rPr>
      <w:rFonts w:cs="Times New Roman"/>
      <w:sz w:val="18"/>
      <w:szCs w:val="18"/>
    </w:rPr>
  </w:style>
  <w:style w:type="character" w:customStyle="1" w:styleId="82">
    <w:name w:val="页眉 Char"/>
    <w:link w:val="31"/>
    <w:autoRedefine/>
    <w:qFormat/>
    <w:locked/>
    <w:uiPriority w:val="0"/>
    <w:rPr>
      <w:rFonts w:cs="Times New Roman"/>
      <w:sz w:val="18"/>
      <w:szCs w:val="18"/>
    </w:rPr>
  </w:style>
  <w:style w:type="paragraph" w:customStyle="1" w:styleId="83">
    <w:name w:val="注："/>
    <w:next w:val="36"/>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84">
    <w:name w:val="注×："/>
    <w:autoRedefine/>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85">
    <w:name w:val="字母编号列项（一级）"/>
    <w:autoRedefine/>
    <w:qFormat/>
    <w:uiPriority w:val="0"/>
    <w:pPr>
      <w:numPr>
        <w:ilvl w:val="0"/>
        <w:numId w:val="6"/>
      </w:numPr>
      <w:jc w:val="both"/>
    </w:pPr>
    <w:rPr>
      <w:rFonts w:ascii="宋体" w:hAnsi="Times New Roman" w:eastAsia="宋体" w:cs="Times New Roman"/>
      <w:sz w:val="21"/>
      <w:lang w:val="en-US" w:eastAsia="zh-CN" w:bidi="ar-SA"/>
    </w:rPr>
  </w:style>
  <w:style w:type="paragraph" w:customStyle="1" w:styleId="86">
    <w:name w:val="列项◆（三级）"/>
    <w:basedOn w:val="1"/>
    <w:autoRedefine/>
    <w:qFormat/>
    <w:uiPriority w:val="0"/>
    <w:pPr>
      <w:numPr>
        <w:ilvl w:val="2"/>
        <w:numId w:val="4"/>
      </w:numPr>
    </w:pPr>
    <w:rPr>
      <w:rFonts w:ascii="宋体"/>
      <w:szCs w:val="21"/>
    </w:rPr>
  </w:style>
  <w:style w:type="paragraph" w:customStyle="1" w:styleId="87">
    <w:name w:val="编号列项（三级）"/>
    <w:autoRedefine/>
    <w:qFormat/>
    <w:uiPriority w:val="0"/>
    <w:pPr>
      <w:numPr>
        <w:ilvl w:val="2"/>
        <w:numId w:val="6"/>
      </w:numPr>
    </w:pPr>
    <w:rPr>
      <w:rFonts w:ascii="宋体" w:hAnsi="Times New Roman" w:eastAsia="宋体" w:cs="Times New Roman"/>
      <w:sz w:val="21"/>
      <w:lang w:val="en-US" w:eastAsia="zh-CN" w:bidi="ar-SA"/>
    </w:rPr>
  </w:style>
  <w:style w:type="paragraph" w:customStyle="1" w:styleId="88">
    <w:name w:val="示例×："/>
    <w:basedOn w:val="69"/>
    <w:autoRedefine/>
    <w:qFormat/>
    <w:uiPriority w:val="0"/>
    <w:pPr>
      <w:numPr>
        <w:numId w:val="9"/>
      </w:numPr>
      <w:spacing w:beforeLines="0" w:afterLines="0"/>
      <w:outlineLvl w:val="9"/>
    </w:pPr>
    <w:rPr>
      <w:rFonts w:ascii="宋体" w:eastAsia="宋体"/>
      <w:sz w:val="18"/>
      <w:szCs w:val="18"/>
    </w:rPr>
  </w:style>
  <w:style w:type="paragraph" w:customStyle="1" w:styleId="89">
    <w:name w:val="二级无"/>
    <w:basedOn w:val="70"/>
    <w:autoRedefine/>
    <w:qFormat/>
    <w:uiPriority w:val="0"/>
    <w:pPr>
      <w:spacing w:beforeLines="0" w:afterLines="0"/>
    </w:pPr>
    <w:rPr>
      <w:rFonts w:ascii="宋体" w:eastAsia="宋体"/>
    </w:rPr>
  </w:style>
  <w:style w:type="paragraph" w:customStyle="1" w:styleId="90">
    <w:name w:val="注：（正文）"/>
    <w:basedOn w:val="83"/>
    <w:next w:val="36"/>
    <w:autoRedefine/>
    <w:qFormat/>
    <w:uiPriority w:val="0"/>
  </w:style>
  <w:style w:type="paragraph" w:customStyle="1" w:styleId="91">
    <w:name w:val="注×：（正文）"/>
    <w:autoRedefine/>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92">
    <w:name w:val="标准标志"/>
    <w:next w:val="1"/>
    <w:autoRedefine/>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3">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4">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95">
    <w:name w:val="标准书眉_偶数页"/>
    <w:basedOn w:val="68"/>
    <w:next w:val="1"/>
    <w:autoRedefine/>
    <w:qFormat/>
    <w:uiPriority w:val="0"/>
    <w:pPr>
      <w:jc w:val="left"/>
    </w:pPr>
  </w:style>
  <w:style w:type="paragraph" w:customStyle="1" w:styleId="96">
    <w:name w:val="标准书眉一"/>
    <w:autoRedefine/>
    <w:qFormat/>
    <w:uiPriority w:val="0"/>
    <w:pPr>
      <w:jc w:val="both"/>
    </w:pPr>
    <w:rPr>
      <w:rFonts w:ascii="Times New Roman" w:hAnsi="Times New Roman" w:eastAsia="宋体" w:cs="Times New Roman"/>
      <w:lang w:val="en-US" w:eastAsia="zh-CN" w:bidi="ar-SA"/>
    </w:rPr>
  </w:style>
  <w:style w:type="paragraph" w:customStyle="1" w:styleId="97">
    <w:name w:val="参考文献"/>
    <w:basedOn w:val="1"/>
    <w:next w:val="36"/>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参考文献、索引标题"/>
    <w:basedOn w:val="1"/>
    <w:next w:val="36"/>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99">
    <w:name w:val="发布"/>
    <w:autoRedefine/>
    <w:qFormat/>
    <w:uiPriority w:val="0"/>
    <w:rPr>
      <w:rFonts w:ascii="黑体" w:eastAsia="黑体" w:cs="Times New Roman"/>
      <w:spacing w:val="85"/>
      <w:w w:val="100"/>
      <w:position w:val="3"/>
      <w:sz w:val="28"/>
      <w:szCs w:val="28"/>
    </w:rPr>
  </w:style>
  <w:style w:type="paragraph" w:customStyle="1" w:styleId="100">
    <w:name w:val="发布部门"/>
    <w:next w:val="36"/>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1">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2">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5">
    <w:name w:val="封面标准英文名称"/>
    <w:basedOn w:val="104"/>
    <w:autoRedefine/>
    <w:qFormat/>
    <w:uiPriority w:val="0"/>
    <w:pPr>
      <w:framePr w:wrap="around"/>
      <w:spacing w:before="370" w:line="400" w:lineRule="exact"/>
    </w:pPr>
    <w:rPr>
      <w:rFonts w:ascii="Times New Roman"/>
      <w:sz w:val="28"/>
      <w:szCs w:val="28"/>
    </w:rPr>
  </w:style>
  <w:style w:type="paragraph" w:customStyle="1" w:styleId="106">
    <w:name w:val="封面一致性程度标识"/>
    <w:basedOn w:val="105"/>
    <w:autoRedefine/>
    <w:qFormat/>
    <w:uiPriority w:val="0"/>
    <w:pPr>
      <w:framePr w:wrap="around"/>
      <w:spacing w:before="440"/>
    </w:pPr>
    <w:rPr>
      <w:rFonts w:ascii="宋体" w:eastAsia="宋体"/>
    </w:rPr>
  </w:style>
  <w:style w:type="paragraph" w:customStyle="1" w:styleId="107">
    <w:name w:val="封面标准文稿类别"/>
    <w:basedOn w:val="106"/>
    <w:autoRedefine/>
    <w:qFormat/>
    <w:uiPriority w:val="0"/>
    <w:pPr>
      <w:framePr w:wrap="around"/>
      <w:spacing w:after="160" w:line="240" w:lineRule="auto"/>
    </w:pPr>
    <w:rPr>
      <w:sz w:val="24"/>
    </w:rPr>
  </w:style>
  <w:style w:type="paragraph" w:customStyle="1" w:styleId="108">
    <w:name w:val="封面标准文稿编辑信息"/>
    <w:basedOn w:val="107"/>
    <w:autoRedefine/>
    <w:qFormat/>
    <w:uiPriority w:val="0"/>
    <w:pPr>
      <w:framePr w:wrap="around"/>
      <w:spacing w:before="180" w:line="180" w:lineRule="exact"/>
    </w:pPr>
    <w:rPr>
      <w:sz w:val="21"/>
    </w:rPr>
  </w:style>
  <w:style w:type="paragraph" w:customStyle="1" w:styleId="109">
    <w:name w:val="封面正文"/>
    <w:autoRedefine/>
    <w:qFormat/>
    <w:uiPriority w:val="0"/>
    <w:pPr>
      <w:jc w:val="both"/>
    </w:pPr>
    <w:rPr>
      <w:rFonts w:ascii="Times New Roman" w:hAnsi="Times New Roman" w:eastAsia="宋体" w:cs="Times New Roman"/>
      <w:lang w:val="en-US" w:eastAsia="zh-CN" w:bidi="ar-SA"/>
    </w:rPr>
  </w:style>
  <w:style w:type="paragraph" w:customStyle="1" w:styleId="110">
    <w:name w:val="附录标识"/>
    <w:basedOn w:val="1"/>
    <w:next w:val="36"/>
    <w:autoRedefine/>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111">
    <w:name w:val="附录标题"/>
    <w:basedOn w:val="36"/>
    <w:next w:val="36"/>
    <w:autoRedefine/>
    <w:qFormat/>
    <w:uiPriority w:val="0"/>
    <w:pPr>
      <w:ind w:firstLine="0" w:firstLineChars="0"/>
      <w:jc w:val="center"/>
    </w:pPr>
    <w:rPr>
      <w:rFonts w:ascii="黑体" w:eastAsia="黑体"/>
    </w:rPr>
  </w:style>
  <w:style w:type="paragraph" w:customStyle="1" w:styleId="112">
    <w:name w:val="附录表标号"/>
    <w:basedOn w:val="1"/>
    <w:next w:val="36"/>
    <w:autoRedefine/>
    <w:qFormat/>
    <w:uiPriority w:val="0"/>
    <w:pPr>
      <w:numPr>
        <w:ilvl w:val="0"/>
        <w:numId w:val="12"/>
      </w:numPr>
      <w:spacing w:line="14" w:lineRule="exact"/>
      <w:ind w:left="811" w:hanging="448"/>
      <w:jc w:val="center"/>
      <w:outlineLvl w:val="0"/>
    </w:pPr>
    <w:rPr>
      <w:color w:val="FFFFFF"/>
    </w:rPr>
  </w:style>
  <w:style w:type="paragraph" w:customStyle="1" w:styleId="113">
    <w:name w:val="附录表标题"/>
    <w:basedOn w:val="1"/>
    <w:next w:val="36"/>
    <w:autoRedefine/>
    <w:qFormat/>
    <w:uiPriority w:val="0"/>
    <w:pPr>
      <w:numPr>
        <w:ilvl w:val="1"/>
        <w:numId w:val="12"/>
      </w:numPr>
      <w:spacing w:beforeLines="50" w:afterLines="50"/>
      <w:jc w:val="center"/>
    </w:pPr>
    <w:rPr>
      <w:rFonts w:ascii="黑体" w:eastAsia="黑体"/>
      <w:szCs w:val="21"/>
    </w:rPr>
  </w:style>
  <w:style w:type="paragraph" w:customStyle="1" w:styleId="114">
    <w:name w:val="附录二级条标题"/>
    <w:basedOn w:val="1"/>
    <w:next w:val="36"/>
    <w:autoRedefine/>
    <w:qFormat/>
    <w:uiPriority w:val="0"/>
    <w:pPr>
      <w:widowControl/>
      <w:numPr>
        <w:ilvl w:val="3"/>
        <w:numId w:val="11"/>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5">
    <w:name w:val="附录二级无"/>
    <w:basedOn w:val="114"/>
    <w:autoRedefine/>
    <w:qFormat/>
    <w:uiPriority w:val="0"/>
    <w:pPr>
      <w:spacing w:beforeLines="0" w:afterLines="0"/>
    </w:pPr>
    <w:rPr>
      <w:rFonts w:ascii="宋体" w:eastAsia="宋体"/>
      <w:szCs w:val="21"/>
    </w:rPr>
  </w:style>
  <w:style w:type="paragraph" w:customStyle="1" w:styleId="116">
    <w:name w:val="附录公式"/>
    <w:basedOn w:val="36"/>
    <w:next w:val="36"/>
    <w:link w:val="117"/>
    <w:autoRedefine/>
    <w:qFormat/>
    <w:uiPriority w:val="0"/>
  </w:style>
  <w:style w:type="character" w:customStyle="1" w:styleId="117">
    <w:name w:val="附录公式 Char"/>
    <w:basedOn w:val="65"/>
    <w:link w:val="116"/>
    <w:autoRedefine/>
    <w:qFormat/>
    <w:locked/>
    <w:uiPriority w:val="0"/>
    <w:rPr>
      <w:rFonts w:ascii="宋体"/>
      <w:sz w:val="21"/>
      <w:lang w:val="en-US" w:eastAsia="zh-CN" w:bidi="ar-SA"/>
    </w:rPr>
  </w:style>
  <w:style w:type="paragraph" w:customStyle="1" w:styleId="118">
    <w:name w:val="附录公式编号制表符"/>
    <w:basedOn w:val="1"/>
    <w:next w:val="36"/>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19">
    <w:name w:val="附录三级条标题"/>
    <w:basedOn w:val="114"/>
    <w:next w:val="36"/>
    <w:autoRedefine/>
    <w:qFormat/>
    <w:uiPriority w:val="0"/>
    <w:pPr>
      <w:numPr>
        <w:ilvl w:val="4"/>
      </w:numPr>
      <w:outlineLvl w:val="4"/>
    </w:pPr>
  </w:style>
  <w:style w:type="paragraph" w:customStyle="1" w:styleId="120">
    <w:name w:val="附录三级无"/>
    <w:basedOn w:val="119"/>
    <w:autoRedefine/>
    <w:qFormat/>
    <w:uiPriority w:val="0"/>
    <w:pPr>
      <w:spacing w:beforeLines="0" w:afterLines="0"/>
    </w:pPr>
    <w:rPr>
      <w:rFonts w:ascii="宋体" w:eastAsia="宋体"/>
      <w:szCs w:val="21"/>
    </w:rPr>
  </w:style>
  <w:style w:type="paragraph" w:customStyle="1" w:styleId="121">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122">
    <w:name w:val="附录四级条标题"/>
    <w:basedOn w:val="119"/>
    <w:next w:val="36"/>
    <w:autoRedefine/>
    <w:qFormat/>
    <w:uiPriority w:val="0"/>
    <w:pPr>
      <w:numPr>
        <w:ilvl w:val="5"/>
      </w:numPr>
      <w:outlineLvl w:val="5"/>
    </w:pPr>
  </w:style>
  <w:style w:type="paragraph" w:customStyle="1" w:styleId="123">
    <w:name w:val="附录四级无"/>
    <w:basedOn w:val="122"/>
    <w:autoRedefine/>
    <w:qFormat/>
    <w:uiPriority w:val="0"/>
    <w:pPr>
      <w:spacing w:beforeLines="0" w:afterLines="0"/>
    </w:pPr>
    <w:rPr>
      <w:rFonts w:ascii="宋体" w:eastAsia="宋体"/>
      <w:szCs w:val="21"/>
    </w:rPr>
  </w:style>
  <w:style w:type="paragraph" w:customStyle="1" w:styleId="124">
    <w:name w:val="附录图标号"/>
    <w:basedOn w:val="1"/>
    <w:autoRedefine/>
    <w:qFormat/>
    <w:uiPriority w:val="0"/>
    <w:pPr>
      <w:keepNext/>
      <w:pageBreakBefore/>
      <w:widowControl/>
      <w:numPr>
        <w:ilvl w:val="0"/>
        <w:numId w:val="14"/>
      </w:numPr>
      <w:spacing w:line="14" w:lineRule="exact"/>
      <w:ind w:firstLine="363"/>
      <w:jc w:val="center"/>
      <w:outlineLvl w:val="0"/>
    </w:pPr>
    <w:rPr>
      <w:color w:val="FFFFFF"/>
    </w:rPr>
  </w:style>
  <w:style w:type="paragraph" w:customStyle="1" w:styleId="125">
    <w:name w:val="附录图标题"/>
    <w:basedOn w:val="1"/>
    <w:next w:val="36"/>
    <w:autoRedefine/>
    <w:qFormat/>
    <w:uiPriority w:val="0"/>
    <w:pPr>
      <w:numPr>
        <w:ilvl w:val="1"/>
        <w:numId w:val="14"/>
      </w:numPr>
      <w:tabs>
        <w:tab w:val="left" w:pos="363"/>
      </w:tabs>
      <w:spacing w:beforeLines="50" w:afterLines="50"/>
      <w:jc w:val="center"/>
    </w:pPr>
    <w:rPr>
      <w:rFonts w:ascii="黑体" w:eastAsia="黑体"/>
      <w:szCs w:val="21"/>
    </w:rPr>
  </w:style>
  <w:style w:type="paragraph" w:customStyle="1" w:styleId="126">
    <w:name w:val="附录五级条标题"/>
    <w:basedOn w:val="122"/>
    <w:next w:val="36"/>
    <w:autoRedefine/>
    <w:qFormat/>
    <w:uiPriority w:val="0"/>
    <w:pPr>
      <w:numPr>
        <w:ilvl w:val="6"/>
      </w:numPr>
      <w:outlineLvl w:val="6"/>
    </w:pPr>
  </w:style>
  <w:style w:type="paragraph" w:customStyle="1" w:styleId="127">
    <w:name w:val="附录五级无"/>
    <w:basedOn w:val="126"/>
    <w:autoRedefine/>
    <w:qFormat/>
    <w:uiPriority w:val="0"/>
    <w:pPr>
      <w:spacing w:beforeLines="0" w:afterLines="0"/>
    </w:pPr>
    <w:rPr>
      <w:rFonts w:ascii="宋体" w:eastAsia="宋体"/>
      <w:szCs w:val="21"/>
    </w:rPr>
  </w:style>
  <w:style w:type="paragraph" w:customStyle="1" w:styleId="128">
    <w:name w:val="附录章标题"/>
    <w:next w:val="36"/>
    <w:autoRedefine/>
    <w:qFormat/>
    <w:uiPriority w:val="0"/>
    <w:pPr>
      <w:numPr>
        <w:ilvl w:val="1"/>
        <w:numId w:val="1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9">
    <w:name w:val="附录一级条标题"/>
    <w:basedOn w:val="128"/>
    <w:next w:val="36"/>
    <w:autoRedefine/>
    <w:qFormat/>
    <w:uiPriority w:val="0"/>
    <w:pPr>
      <w:numPr>
        <w:ilvl w:val="2"/>
      </w:numPr>
      <w:autoSpaceDN w:val="0"/>
      <w:spacing w:beforeLines="50" w:afterLines="50"/>
      <w:outlineLvl w:val="2"/>
    </w:pPr>
  </w:style>
  <w:style w:type="paragraph" w:customStyle="1" w:styleId="130">
    <w:name w:val="附录一级无"/>
    <w:basedOn w:val="129"/>
    <w:autoRedefine/>
    <w:qFormat/>
    <w:uiPriority w:val="0"/>
    <w:pPr>
      <w:spacing w:beforeLines="0" w:afterLines="0"/>
    </w:pPr>
    <w:rPr>
      <w:rFonts w:ascii="宋体" w:eastAsia="宋体"/>
      <w:szCs w:val="21"/>
    </w:rPr>
  </w:style>
  <w:style w:type="paragraph" w:customStyle="1" w:styleId="131">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character" w:customStyle="1" w:styleId="132">
    <w:name w:val="脚注文本 Char"/>
    <w:link w:val="37"/>
    <w:autoRedefine/>
    <w:qFormat/>
    <w:locked/>
    <w:uiPriority w:val="0"/>
    <w:rPr>
      <w:rFonts w:ascii="宋体"/>
      <w:kern w:val="2"/>
      <w:sz w:val="18"/>
      <w:szCs w:val="18"/>
    </w:rPr>
  </w:style>
  <w:style w:type="paragraph" w:customStyle="1" w:styleId="133">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4">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36">
    <w:name w:val="其他标准标志"/>
    <w:basedOn w:val="92"/>
    <w:autoRedefine/>
    <w:qFormat/>
    <w:uiPriority w:val="0"/>
    <w:pPr>
      <w:framePr w:w="6101" w:wrap="around" w:vAnchor="page" w:hAnchor="page" w:x="4673" w:y="942"/>
    </w:pPr>
    <w:rPr>
      <w:w w:val="130"/>
    </w:rPr>
  </w:style>
  <w:style w:type="paragraph" w:customStyle="1" w:styleId="137">
    <w:name w:val="其他标准称谓"/>
    <w:next w:val="1"/>
    <w:autoRedefine/>
    <w:qFormat/>
    <w:uiPriority w:val="0"/>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8">
    <w:name w:val="其他发布部门"/>
    <w:basedOn w:val="100"/>
    <w:autoRedefine/>
    <w:qFormat/>
    <w:uiPriority w:val="0"/>
    <w:pPr>
      <w:framePr w:wrap="around" w:y="15310"/>
      <w:spacing w:line="240" w:lineRule="atLeast"/>
    </w:pPr>
    <w:rPr>
      <w:rFonts w:ascii="黑体" w:eastAsia="黑体"/>
      <w:b w:val="0"/>
    </w:rPr>
  </w:style>
  <w:style w:type="paragraph" w:customStyle="1" w:styleId="139">
    <w:name w:val="前言、引言标题"/>
    <w:next w:val="36"/>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0">
    <w:name w:val="三级无"/>
    <w:basedOn w:val="75"/>
    <w:autoRedefine/>
    <w:qFormat/>
    <w:uiPriority w:val="0"/>
    <w:pPr>
      <w:spacing w:beforeLines="0" w:afterLines="0"/>
    </w:pPr>
    <w:rPr>
      <w:rFonts w:ascii="宋体" w:eastAsia="宋体"/>
    </w:rPr>
  </w:style>
  <w:style w:type="paragraph" w:customStyle="1" w:styleId="141">
    <w:name w:val="实施日期"/>
    <w:basedOn w:val="101"/>
    <w:autoRedefine/>
    <w:qFormat/>
    <w:uiPriority w:val="0"/>
    <w:pPr>
      <w:framePr w:wrap="around" w:vAnchor="page" w:hAnchor="text"/>
      <w:jc w:val="right"/>
    </w:pPr>
  </w:style>
  <w:style w:type="paragraph" w:customStyle="1" w:styleId="142">
    <w:name w:val="示例后文字"/>
    <w:basedOn w:val="36"/>
    <w:next w:val="36"/>
    <w:autoRedefine/>
    <w:qFormat/>
    <w:uiPriority w:val="0"/>
    <w:pPr>
      <w:ind w:firstLine="360"/>
    </w:pPr>
    <w:rPr>
      <w:sz w:val="18"/>
    </w:rPr>
  </w:style>
  <w:style w:type="paragraph" w:customStyle="1" w:styleId="143">
    <w:name w:val="首示例"/>
    <w:next w:val="36"/>
    <w:link w:val="144"/>
    <w:autoRedefine/>
    <w:qFormat/>
    <w:uiPriority w:val="0"/>
    <w:pPr>
      <w:numPr>
        <w:ilvl w:val="0"/>
        <w:numId w:val="15"/>
      </w:numPr>
    </w:pPr>
    <w:rPr>
      <w:rFonts w:ascii="宋体" w:hAnsi="宋体" w:eastAsia="宋体" w:cs="Times New Roman"/>
      <w:kern w:val="2"/>
      <w:sz w:val="18"/>
      <w:szCs w:val="18"/>
      <w:lang w:val="en-US" w:eastAsia="zh-CN" w:bidi="ar-SA"/>
    </w:rPr>
  </w:style>
  <w:style w:type="character" w:customStyle="1" w:styleId="144">
    <w:name w:val="首示例 Char"/>
    <w:link w:val="143"/>
    <w:autoRedefine/>
    <w:qFormat/>
    <w:locked/>
    <w:uiPriority w:val="0"/>
    <w:rPr>
      <w:rFonts w:ascii="宋体" w:hAnsi="宋体"/>
      <w:kern w:val="2"/>
      <w:sz w:val="18"/>
      <w:szCs w:val="18"/>
    </w:rPr>
  </w:style>
  <w:style w:type="paragraph" w:customStyle="1" w:styleId="145">
    <w:name w:val="四级无"/>
    <w:basedOn w:val="79"/>
    <w:autoRedefine/>
    <w:qFormat/>
    <w:uiPriority w:val="0"/>
    <w:pPr>
      <w:spacing w:beforeLines="0" w:afterLines="0"/>
    </w:pPr>
    <w:rPr>
      <w:rFonts w:ascii="宋体" w:eastAsia="宋体"/>
    </w:rPr>
  </w:style>
  <w:style w:type="paragraph" w:customStyle="1" w:styleId="146">
    <w:name w:val="条文脚注"/>
    <w:basedOn w:val="37"/>
    <w:autoRedefine/>
    <w:qFormat/>
    <w:uiPriority w:val="0"/>
    <w:pPr>
      <w:numPr>
        <w:numId w:val="0"/>
      </w:numPr>
      <w:jc w:val="both"/>
    </w:pPr>
  </w:style>
  <w:style w:type="paragraph" w:customStyle="1" w:styleId="147">
    <w:name w:val="图标脚注说明"/>
    <w:basedOn w:val="36"/>
    <w:autoRedefine/>
    <w:qFormat/>
    <w:uiPriority w:val="0"/>
    <w:pPr>
      <w:ind w:left="840" w:hanging="420" w:firstLineChars="0"/>
    </w:pPr>
    <w:rPr>
      <w:sz w:val="18"/>
      <w:szCs w:val="18"/>
    </w:rPr>
  </w:style>
  <w:style w:type="paragraph" w:customStyle="1" w:styleId="148">
    <w:name w:val="图表脚注说明"/>
    <w:basedOn w:val="1"/>
    <w:autoRedefine/>
    <w:qFormat/>
    <w:uiPriority w:val="0"/>
    <w:pPr>
      <w:numPr>
        <w:ilvl w:val="0"/>
        <w:numId w:val="16"/>
      </w:numPr>
    </w:pPr>
    <w:rPr>
      <w:rFonts w:ascii="宋体"/>
      <w:sz w:val="18"/>
      <w:szCs w:val="18"/>
    </w:rPr>
  </w:style>
  <w:style w:type="paragraph" w:customStyle="1" w:styleId="149">
    <w:name w:val="图的脚注"/>
    <w:next w:val="36"/>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50">
    <w:name w:val="尾注文本 Char"/>
    <w:link w:val="28"/>
    <w:autoRedefine/>
    <w:semiHidden/>
    <w:qFormat/>
    <w:locked/>
    <w:uiPriority w:val="0"/>
    <w:rPr>
      <w:rFonts w:cs="Times New Roman"/>
      <w:sz w:val="24"/>
      <w:szCs w:val="24"/>
    </w:rPr>
  </w:style>
  <w:style w:type="character" w:customStyle="1" w:styleId="151">
    <w:name w:val="文档结构图 Char"/>
    <w:link w:val="16"/>
    <w:autoRedefine/>
    <w:semiHidden/>
    <w:qFormat/>
    <w:locked/>
    <w:uiPriority w:val="0"/>
    <w:rPr>
      <w:rFonts w:cs="Times New Roman"/>
      <w:sz w:val="2"/>
    </w:rPr>
  </w:style>
  <w:style w:type="paragraph" w:customStyle="1" w:styleId="15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3">
    <w:name w:val="五级无"/>
    <w:basedOn w:val="80"/>
    <w:autoRedefine/>
    <w:qFormat/>
    <w:uiPriority w:val="0"/>
    <w:pPr>
      <w:spacing w:beforeLines="0" w:afterLines="0"/>
    </w:pPr>
    <w:rPr>
      <w:rFonts w:ascii="宋体" w:eastAsia="宋体"/>
    </w:rPr>
  </w:style>
  <w:style w:type="paragraph" w:customStyle="1" w:styleId="154">
    <w:name w:val="一级无"/>
    <w:basedOn w:val="66"/>
    <w:autoRedefine/>
    <w:qFormat/>
    <w:uiPriority w:val="0"/>
    <w:pPr>
      <w:spacing w:beforeLines="0" w:afterLines="0"/>
    </w:pPr>
    <w:rPr>
      <w:rFonts w:ascii="宋体" w:eastAsia="宋体"/>
    </w:rPr>
  </w:style>
  <w:style w:type="paragraph" w:customStyle="1" w:styleId="155">
    <w:name w:val="正文表标题"/>
    <w:next w:val="36"/>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56">
    <w:name w:val="正文公式编号制表符"/>
    <w:basedOn w:val="36"/>
    <w:next w:val="36"/>
    <w:autoRedefine/>
    <w:qFormat/>
    <w:uiPriority w:val="0"/>
    <w:pPr>
      <w:ind w:firstLine="0" w:firstLineChars="0"/>
    </w:pPr>
  </w:style>
  <w:style w:type="paragraph" w:customStyle="1" w:styleId="157">
    <w:name w:val="正文图标题"/>
    <w:next w:val="36"/>
    <w:autoRedefine/>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58">
    <w:name w:val="终结线"/>
    <w:basedOn w:val="1"/>
    <w:autoRedefine/>
    <w:qFormat/>
    <w:uiPriority w:val="0"/>
    <w:pPr>
      <w:framePr w:hSpace="181" w:vSpace="181" w:wrap="around" w:vAnchor="text" w:hAnchor="margin" w:xAlign="center" w:y="285"/>
    </w:pPr>
  </w:style>
  <w:style w:type="paragraph" w:customStyle="1" w:styleId="159">
    <w:name w:val="其他发布日期"/>
    <w:basedOn w:val="101"/>
    <w:autoRedefine/>
    <w:qFormat/>
    <w:uiPriority w:val="0"/>
    <w:pPr>
      <w:framePr w:wrap="around" w:vAnchor="page" w:hAnchor="text" w:x="1419"/>
    </w:pPr>
  </w:style>
  <w:style w:type="paragraph" w:customStyle="1" w:styleId="160">
    <w:name w:val="其他实施日期"/>
    <w:basedOn w:val="141"/>
    <w:autoRedefine/>
    <w:qFormat/>
    <w:uiPriority w:val="0"/>
    <w:pPr>
      <w:framePr w:wrap="around"/>
    </w:pPr>
  </w:style>
  <w:style w:type="paragraph" w:customStyle="1" w:styleId="161">
    <w:name w:val="封面标准名称2"/>
    <w:basedOn w:val="104"/>
    <w:autoRedefine/>
    <w:qFormat/>
    <w:uiPriority w:val="0"/>
    <w:pPr>
      <w:framePr w:wrap="around" w:y="4469"/>
      <w:spacing w:beforeLines="630"/>
    </w:pPr>
  </w:style>
  <w:style w:type="paragraph" w:customStyle="1" w:styleId="162">
    <w:name w:val="封面标准英文名称2"/>
    <w:basedOn w:val="105"/>
    <w:autoRedefine/>
    <w:qFormat/>
    <w:uiPriority w:val="0"/>
    <w:pPr>
      <w:framePr w:wrap="around" w:y="4469"/>
    </w:pPr>
  </w:style>
  <w:style w:type="paragraph" w:customStyle="1" w:styleId="163">
    <w:name w:val="封面一致性程度标识2"/>
    <w:basedOn w:val="106"/>
    <w:autoRedefine/>
    <w:qFormat/>
    <w:uiPriority w:val="0"/>
    <w:pPr>
      <w:framePr w:wrap="around" w:y="4469"/>
    </w:pPr>
  </w:style>
  <w:style w:type="paragraph" w:customStyle="1" w:styleId="164">
    <w:name w:val="封面标准文稿类别2"/>
    <w:basedOn w:val="107"/>
    <w:autoRedefine/>
    <w:qFormat/>
    <w:uiPriority w:val="0"/>
    <w:pPr>
      <w:framePr w:wrap="around" w:y="4469"/>
    </w:pPr>
  </w:style>
  <w:style w:type="paragraph" w:customStyle="1" w:styleId="165">
    <w:name w:val="封面标准文稿编辑信息2"/>
    <w:basedOn w:val="108"/>
    <w:autoRedefine/>
    <w:qFormat/>
    <w:uiPriority w:val="0"/>
    <w:pPr>
      <w:framePr w:wrap="around" w:y="4469"/>
    </w:pPr>
  </w:style>
  <w:style w:type="paragraph" w:customStyle="1" w:styleId="166">
    <w:name w:val="图表脚注"/>
    <w:next w:val="36"/>
    <w:autoRedefine/>
    <w:qFormat/>
    <w:uiPriority w:val="0"/>
    <w:pPr>
      <w:jc w:val="both"/>
    </w:pPr>
    <w:rPr>
      <w:rFonts w:ascii="宋体" w:hAnsi="Times New Roman" w:eastAsia="宋体" w:cs="Times New Roman"/>
      <w:sz w:val="18"/>
      <w:lang w:val="en-US" w:eastAsia="zh-CN" w:bidi="ar-SA"/>
    </w:rPr>
  </w:style>
  <w:style w:type="character" w:customStyle="1" w:styleId="167">
    <w:name w:val="标题 1 Char"/>
    <w:basedOn w:val="50"/>
    <w:link w:val="2"/>
    <w:autoRedefine/>
    <w:qFormat/>
    <w:uiPriority w:val="0"/>
    <w:rPr>
      <w:b/>
      <w:bCs/>
      <w:kern w:val="44"/>
      <w:sz w:val="44"/>
      <w:szCs w:val="44"/>
    </w:rPr>
  </w:style>
  <w:style w:type="character" w:customStyle="1" w:styleId="168">
    <w:name w:val="标题 2 Char"/>
    <w:basedOn w:val="50"/>
    <w:link w:val="3"/>
    <w:autoRedefine/>
    <w:qFormat/>
    <w:uiPriority w:val="0"/>
    <w:rPr>
      <w:rFonts w:ascii="Arial" w:hAnsi="Arial" w:eastAsia="黑体"/>
      <w:b/>
      <w:bCs/>
      <w:kern w:val="2"/>
      <w:sz w:val="32"/>
      <w:szCs w:val="32"/>
    </w:rPr>
  </w:style>
  <w:style w:type="character" w:customStyle="1" w:styleId="169">
    <w:name w:val="标题 3 Char"/>
    <w:basedOn w:val="50"/>
    <w:link w:val="4"/>
    <w:autoRedefine/>
    <w:qFormat/>
    <w:uiPriority w:val="0"/>
    <w:rPr>
      <w:b/>
      <w:bCs/>
      <w:kern w:val="2"/>
      <w:sz w:val="32"/>
      <w:szCs w:val="32"/>
    </w:rPr>
  </w:style>
  <w:style w:type="character" w:customStyle="1" w:styleId="170">
    <w:name w:val="标题 4 Char"/>
    <w:basedOn w:val="50"/>
    <w:link w:val="5"/>
    <w:autoRedefine/>
    <w:qFormat/>
    <w:uiPriority w:val="0"/>
    <w:rPr>
      <w:rFonts w:ascii="Arial" w:hAnsi="Arial" w:eastAsia="黑体"/>
      <w:b/>
      <w:bCs/>
      <w:kern w:val="2"/>
      <w:sz w:val="28"/>
      <w:szCs w:val="28"/>
    </w:rPr>
  </w:style>
  <w:style w:type="character" w:customStyle="1" w:styleId="171">
    <w:name w:val="标题 5 Char"/>
    <w:basedOn w:val="50"/>
    <w:link w:val="6"/>
    <w:autoRedefine/>
    <w:qFormat/>
    <w:uiPriority w:val="0"/>
    <w:rPr>
      <w:b/>
      <w:bCs/>
      <w:kern w:val="2"/>
      <w:sz w:val="28"/>
      <w:szCs w:val="28"/>
    </w:rPr>
  </w:style>
  <w:style w:type="character" w:customStyle="1" w:styleId="172">
    <w:name w:val="标题 6 Char"/>
    <w:basedOn w:val="50"/>
    <w:link w:val="7"/>
    <w:autoRedefine/>
    <w:qFormat/>
    <w:uiPriority w:val="0"/>
    <w:rPr>
      <w:rFonts w:ascii="Arial" w:hAnsi="Arial" w:eastAsia="黑体"/>
      <w:b/>
      <w:bCs/>
      <w:kern w:val="2"/>
      <w:sz w:val="24"/>
      <w:szCs w:val="24"/>
    </w:rPr>
  </w:style>
  <w:style w:type="character" w:customStyle="1" w:styleId="173">
    <w:name w:val="标题 7 Char"/>
    <w:basedOn w:val="50"/>
    <w:link w:val="8"/>
    <w:autoRedefine/>
    <w:qFormat/>
    <w:uiPriority w:val="0"/>
    <w:rPr>
      <w:b/>
      <w:bCs/>
      <w:kern w:val="2"/>
      <w:sz w:val="24"/>
      <w:szCs w:val="24"/>
    </w:rPr>
  </w:style>
  <w:style w:type="character" w:customStyle="1" w:styleId="174">
    <w:name w:val="标题 8 Char"/>
    <w:basedOn w:val="50"/>
    <w:link w:val="9"/>
    <w:autoRedefine/>
    <w:qFormat/>
    <w:uiPriority w:val="0"/>
    <w:rPr>
      <w:rFonts w:ascii="Arial" w:hAnsi="Arial" w:eastAsia="黑体"/>
      <w:kern w:val="2"/>
      <w:sz w:val="24"/>
      <w:szCs w:val="24"/>
    </w:rPr>
  </w:style>
  <w:style w:type="character" w:customStyle="1" w:styleId="175">
    <w:name w:val="标题 9 Char"/>
    <w:basedOn w:val="50"/>
    <w:link w:val="10"/>
    <w:autoRedefine/>
    <w:qFormat/>
    <w:uiPriority w:val="0"/>
    <w:rPr>
      <w:rFonts w:ascii="Arial" w:hAnsi="Arial" w:eastAsia="黑体"/>
      <w:kern w:val="2"/>
      <w:sz w:val="21"/>
      <w:szCs w:val="21"/>
    </w:rPr>
  </w:style>
  <w:style w:type="paragraph" w:customStyle="1" w:styleId="176">
    <w:name w:val="列出段落1"/>
    <w:basedOn w:val="1"/>
    <w:autoRedefine/>
    <w:qFormat/>
    <w:uiPriority w:val="34"/>
    <w:pPr>
      <w:ind w:firstLine="420" w:firstLineChars="200"/>
    </w:pPr>
    <w:rPr>
      <w:rFonts w:ascii="Calibri" w:hAnsi="Calibri"/>
    </w:rPr>
  </w:style>
  <w:style w:type="paragraph" w:customStyle="1" w:styleId="177">
    <w:name w:val="段 Char Char Char Char Char Char Char Char Char Char Char Char"/>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78">
    <w:name w:val="批注框文本 Char"/>
    <w:link w:val="29"/>
    <w:autoRedefine/>
    <w:semiHidden/>
    <w:qFormat/>
    <w:uiPriority w:val="0"/>
    <w:rPr>
      <w:kern w:val="2"/>
      <w:sz w:val="18"/>
      <w:szCs w:val="18"/>
    </w:rPr>
  </w:style>
  <w:style w:type="character" w:customStyle="1" w:styleId="179">
    <w:name w:val="批注文字 Char"/>
    <w:link w:val="17"/>
    <w:autoRedefine/>
    <w:semiHidden/>
    <w:qFormat/>
    <w:uiPriority w:val="0"/>
    <w:rPr>
      <w:kern w:val="2"/>
      <w:sz w:val="21"/>
      <w:szCs w:val="24"/>
    </w:rPr>
  </w:style>
  <w:style w:type="character" w:customStyle="1" w:styleId="180">
    <w:name w:val="批注主题 Char"/>
    <w:link w:val="46"/>
    <w:autoRedefine/>
    <w:semiHidden/>
    <w:qFormat/>
    <w:uiPriority w:val="0"/>
    <w:rPr>
      <w:b/>
      <w:bCs/>
      <w:kern w:val="2"/>
      <w:sz w:val="21"/>
      <w:szCs w:val="24"/>
    </w:rPr>
  </w:style>
  <w:style w:type="paragraph" w:customStyle="1" w:styleId="181">
    <w:name w:val="TOC 标题1"/>
    <w:basedOn w:val="2"/>
    <w:next w:val="1"/>
    <w:autoRedefine/>
    <w:unhideWhenUsed/>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8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83">
    <w:name w:val="font6"/>
    <w:basedOn w:val="1"/>
    <w:autoRedefine/>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84">
    <w:name w:val="font7"/>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5">
    <w:name w:val="font8"/>
    <w:basedOn w:val="1"/>
    <w:autoRedefine/>
    <w:qFormat/>
    <w:uiPriority w:val="0"/>
    <w:pPr>
      <w:widowControl/>
      <w:spacing w:before="100" w:beforeAutospacing="1" w:after="100" w:afterAutospacing="1"/>
      <w:jc w:val="left"/>
    </w:pPr>
    <w:rPr>
      <w:rFonts w:ascii="Arial" w:hAnsi="Arial" w:cs="Arial"/>
      <w:color w:val="000000"/>
      <w:kern w:val="0"/>
      <w:sz w:val="18"/>
      <w:szCs w:val="18"/>
      <w:u w:val="single"/>
    </w:rPr>
  </w:style>
  <w:style w:type="paragraph" w:customStyle="1" w:styleId="186">
    <w:name w:val="font9"/>
    <w:basedOn w:val="1"/>
    <w:autoRedefine/>
    <w:qFormat/>
    <w:uiPriority w:val="0"/>
    <w:pPr>
      <w:widowControl/>
      <w:spacing w:before="100" w:beforeAutospacing="1" w:after="100" w:afterAutospacing="1"/>
      <w:jc w:val="left"/>
    </w:pPr>
    <w:rPr>
      <w:rFonts w:ascii="Arial" w:hAnsi="Arial" w:cs="Arial"/>
      <w:color w:val="0033CC"/>
      <w:kern w:val="0"/>
      <w:sz w:val="18"/>
      <w:szCs w:val="18"/>
    </w:rPr>
  </w:style>
  <w:style w:type="paragraph" w:customStyle="1" w:styleId="187">
    <w:name w:val="font10"/>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188">
    <w:name w:val="font11"/>
    <w:basedOn w:val="1"/>
    <w:autoRedefine/>
    <w:qFormat/>
    <w:uiPriority w:val="0"/>
    <w:pPr>
      <w:widowControl/>
      <w:spacing w:before="100" w:beforeAutospacing="1" w:after="100" w:afterAutospacing="1"/>
      <w:jc w:val="left"/>
    </w:pPr>
    <w:rPr>
      <w:rFonts w:ascii="Arial" w:hAnsi="Arial" w:cs="Arial"/>
      <w:kern w:val="0"/>
      <w:sz w:val="18"/>
      <w:szCs w:val="18"/>
      <w:u w:val="single"/>
    </w:rPr>
  </w:style>
  <w:style w:type="paragraph" w:customStyle="1" w:styleId="189">
    <w:name w:val="font12"/>
    <w:basedOn w:val="1"/>
    <w:autoRedefine/>
    <w:qFormat/>
    <w:uiPriority w:val="0"/>
    <w:pPr>
      <w:widowControl/>
      <w:spacing w:before="100" w:beforeAutospacing="1" w:after="100" w:afterAutospacing="1"/>
      <w:jc w:val="left"/>
    </w:pPr>
    <w:rPr>
      <w:rFonts w:ascii="Arial" w:hAnsi="Arial" w:cs="Arial"/>
      <w:color w:val="0033CC"/>
      <w:kern w:val="0"/>
      <w:sz w:val="18"/>
      <w:szCs w:val="18"/>
      <w:u w:val="single"/>
    </w:rPr>
  </w:style>
  <w:style w:type="paragraph" w:customStyle="1" w:styleId="190">
    <w:name w:val="font13"/>
    <w:basedOn w:val="1"/>
    <w:autoRedefine/>
    <w:qFormat/>
    <w:uiPriority w:val="0"/>
    <w:pPr>
      <w:widowControl/>
      <w:spacing w:before="100" w:beforeAutospacing="1" w:after="100" w:afterAutospacing="1"/>
      <w:jc w:val="left"/>
    </w:pPr>
    <w:rPr>
      <w:rFonts w:ascii="宋体" w:hAnsi="宋体" w:cs="宋体"/>
      <w:color w:val="0033CC"/>
      <w:kern w:val="0"/>
      <w:sz w:val="18"/>
      <w:szCs w:val="18"/>
    </w:rPr>
  </w:style>
  <w:style w:type="paragraph" w:customStyle="1" w:styleId="191">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2">
    <w:name w:val="font15"/>
    <w:basedOn w:val="1"/>
    <w:autoRedefine/>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93">
    <w:name w:val="font16"/>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94">
    <w:name w:val="font17"/>
    <w:basedOn w:val="1"/>
    <w:autoRedefine/>
    <w:qFormat/>
    <w:uiPriority w:val="0"/>
    <w:pPr>
      <w:widowControl/>
      <w:spacing w:before="100" w:beforeAutospacing="1" w:after="100" w:afterAutospacing="1"/>
      <w:jc w:val="left"/>
    </w:pPr>
    <w:rPr>
      <w:rFonts w:ascii="Arial" w:hAnsi="Arial" w:cs="Arial"/>
      <w:color w:val="000000"/>
      <w:kern w:val="0"/>
      <w:sz w:val="20"/>
      <w:szCs w:val="20"/>
      <w:u w:val="single"/>
    </w:rPr>
  </w:style>
  <w:style w:type="paragraph" w:customStyle="1" w:styleId="195">
    <w:name w:val="font18"/>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96">
    <w:name w:val="font19"/>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97">
    <w:name w:val="font20"/>
    <w:basedOn w:val="1"/>
    <w:autoRedefine/>
    <w:qFormat/>
    <w:uiPriority w:val="0"/>
    <w:pPr>
      <w:widowControl/>
      <w:spacing w:before="100" w:beforeAutospacing="1" w:after="100" w:afterAutospacing="1"/>
      <w:jc w:val="left"/>
    </w:pPr>
    <w:rPr>
      <w:rFonts w:ascii="Arial" w:hAnsi="Arial" w:cs="Arial"/>
      <w:color w:val="0033CC"/>
      <w:kern w:val="0"/>
      <w:sz w:val="20"/>
      <w:szCs w:val="20"/>
      <w:u w:val="single"/>
    </w:rPr>
  </w:style>
  <w:style w:type="paragraph" w:customStyle="1" w:styleId="198">
    <w:name w:val="font21"/>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9">
    <w:name w:val="font22"/>
    <w:basedOn w:val="1"/>
    <w:autoRedefine/>
    <w:qFormat/>
    <w:uiPriority w:val="0"/>
    <w:pPr>
      <w:widowControl/>
      <w:spacing w:before="100" w:beforeAutospacing="1" w:after="100" w:afterAutospacing="1"/>
      <w:jc w:val="left"/>
    </w:pPr>
    <w:rPr>
      <w:rFonts w:ascii="Arial" w:hAnsi="Arial" w:cs="Arial"/>
      <w:kern w:val="0"/>
      <w:sz w:val="20"/>
      <w:szCs w:val="20"/>
      <w:u w:val="single"/>
    </w:rPr>
  </w:style>
  <w:style w:type="paragraph" w:customStyle="1" w:styleId="200">
    <w:name w:val="font2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1">
    <w:name w:val="xl63"/>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20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03">
    <w:name w:val="xl65"/>
    <w:basedOn w:val="1"/>
    <w:autoRedefine/>
    <w:qFormat/>
    <w:uiPriority w:val="0"/>
    <w:pPr>
      <w:widowControl/>
      <w:shd w:val="clear" w:color="000000" w:fill="FFFFFF"/>
      <w:spacing w:before="100" w:beforeAutospacing="1" w:after="100" w:afterAutospacing="1"/>
      <w:jc w:val="left"/>
    </w:pPr>
    <w:rPr>
      <w:rFonts w:ascii="Arial" w:hAnsi="Arial" w:cs="Arial"/>
      <w:kern w:val="0"/>
      <w:sz w:val="18"/>
      <w:szCs w:val="18"/>
    </w:rPr>
  </w:style>
  <w:style w:type="paragraph" w:customStyle="1" w:styleId="20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18"/>
      <w:szCs w:val="18"/>
    </w:rPr>
  </w:style>
  <w:style w:type="paragraph" w:customStyle="1" w:styleId="205">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206">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20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18"/>
      <w:szCs w:val="18"/>
    </w:rPr>
  </w:style>
  <w:style w:type="paragraph" w:customStyle="1" w:styleId="20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20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21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33CC"/>
      <w:kern w:val="0"/>
      <w:sz w:val="18"/>
      <w:szCs w:val="18"/>
    </w:rPr>
  </w:style>
  <w:style w:type="paragraph" w:customStyle="1" w:styleId="21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color w:val="0033CC"/>
      <w:kern w:val="0"/>
      <w:sz w:val="18"/>
      <w:szCs w:val="18"/>
    </w:rPr>
  </w:style>
  <w:style w:type="paragraph" w:customStyle="1" w:styleId="212">
    <w:name w:val="xl74"/>
    <w:basedOn w:val="1"/>
    <w:autoRedefine/>
    <w:qFormat/>
    <w:uiPriority w:val="0"/>
    <w:pPr>
      <w:widowControl/>
      <w:spacing w:before="100" w:beforeAutospacing="1" w:after="100" w:afterAutospacing="1"/>
      <w:jc w:val="left"/>
      <w:textAlignment w:val="top"/>
    </w:pPr>
    <w:rPr>
      <w:rFonts w:ascii="Arial" w:hAnsi="Arial" w:cs="Arial"/>
      <w:kern w:val="0"/>
      <w:sz w:val="18"/>
      <w:szCs w:val="18"/>
    </w:rPr>
  </w:style>
  <w:style w:type="paragraph" w:customStyle="1" w:styleId="21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18"/>
      <w:szCs w:val="18"/>
    </w:rPr>
  </w:style>
  <w:style w:type="paragraph" w:customStyle="1" w:styleId="214">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215">
    <w:name w:val="xl77"/>
    <w:basedOn w:val="1"/>
    <w:autoRedefine/>
    <w:qFormat/>
    <w:uiPriority w:val="0"/>
    <w:pPr>
      <w:widowControl/>
      <w:spacing w:before="100" w:beforeAutospacing="1" w:after="100" w:afterAutospacing="1"/>
      <w:jc w:val="left"/>
      <w:textAlignment w:val="top"/>
    </w:pPr>
    <w:rPr>
      <w:rFonts w:ascii="Arial" w:hAnsi="Arial" w:cs="Arial"/>
      <w:kern w:val="0"/>
      <w:sz w:val="18"/>
      <w:szCs w:val="18"/>
    </w:rPr>
  </w:style>
  <w:style w:type="paragraph" w:customStyle="1" w:styleId="2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18"/>
      <w:szCs w:val="18"/>
    </w:rPr>
  </w:style>
  <w:style w:type="paragraph" w:customStyle="1" w:styleId="21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218">
    <w:name w:val="xl80"/>
    <w:basedOn w:val="1"/>
    <w:autoRedefine/>
    <w:qFormat/>
    <w:uiPriority w:val="0"/>
    <w:pPr>
      <w:widowControl/>
      <w:spacing w:before="100" w:beforeAutospacing="1" w:after="100" w:afterAutospacing="1"/>
      <w:jc w:val="left"/>
      <w:textAlignment w:val="top"/>
    </w:pPr>
    <w:rPr>
      <w:rFonts w:ascii="Arial" w:hAnsi="Arial" w:cs="Arial"/>
      <w:kern w:val="0"/>
      <w:sz w:val="18"/>
      <w:szCs w:val="18"/>
    </w:rPr>
  </w:style>
  <w:style w:type="paragraph" w:customStyle="1" w:styleId="21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2"/>
      <w:szCs w:val="12"/>
    </w:rPr>
  </w:style>
  <w:style w:type="paragraph" w:customStyle="1" w:styleId="22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color w:val="0033CC"/>
      <w:kern w:val="0"/>
      <w:sz w:val="18"/>
      <w:szCs w:val="18"/>
    </w:rPr>
  </w:style>
  <w:style w:type="paragraph" w:customStyle="1" w:styleId="22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0"/>
      <w:szCs w:val="20"/>
    </w:rPr>
  </w:style>
  <w:style w:type="paragraph" w:customStyle="1" w:styleId="22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0"/>
      <w:szCs w:val="20"/>
    </w:rPr>
  </w:style>
  <w:style w:type="paragraph" w:customStyle="1" w:styleId="22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0"/>
      <w:szCs w:val="20"/>
    </w:rPr>
  </w:style>
  <w:style w:type="paragraph" w:customStyle="1" w:styleId="22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color w:val="0033CC"/>
      <w:kern w:val="0"/>
      <w:sz w:val="18"/>
      <w:szCs w:val="18"/>
      <w:u w:val="single"/>
    </w:rPr>
  </w:style>
  <w:style w:type="paragraph" w:customStyle="1" w:styleId="22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0"/>
      <w:szCs w:val="20"/>
    </w:rPr>
  </w:style>
  <w:style w:type="paragraph" w:customStyle="1" w:styleId="22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2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0"/>
      <w:szCs w:val="20"/>
    </w:rPr>
  </w:style>
  <w:style w:type="paragraph" w:customStyle="1" w:styleId="22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0"/>
      <w:szCs w:val="20"/>
    </w:rPr>
  </w:style>
  <w:style w:type="paragraph" w:customStyle="1" w:styleId="22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30">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1">
    <w:name w:val="xl93"/>
    <w:basedOn w:val="1"/>
    <w:autoRedefine/>
    <w:qFormat/>
    <w:uiPriority w:val="0"/>
    <w:pPr>
      <w:widowControl/>
      <w:spacing w:before="100" w:beforeAutospacing="1" w:after="100" w:afterAutospacing="1"/>
      <w:jc w:val="center"/>
    </w:pPr>
    <w:rPr>
      <w:rFonts w:ascii="Arial" w:hAnsi="Arial" w:cs="Arial"/>
      <w:kern w:val="0"/>
      <w:sz w:val="18"/>
      <w:szCs w:val="18"/>
    </w:rPr>
  </w:style>
  <w:style w:type="paragraph" w:customStyle="1" w:styleId="232">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235">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36">
    <w:name w:val="HTML 地址 Char"/>
    <w:basedOn w:val="50"/>
    <w:link w:val="21"/>
    <w:autoRedefine/>
    <w:qFormat/>
    <w:uiPriority w:val="0"/>
    <w:rPr>
      <w:i/>
      <w:iCs/>
      <w:kern w:val="2"/>
      <w:sz w:val="21"/>
      <w:szCs w:val="24"/>
    </w:rPr>
  </w:style>
  <w:style w:type="character" w:customStyle="1" w:styleId="237">
    <w:name w:val="HTML 预设格式 Char"/>
    <w:basedOn w:val="50"/>
    <w:link w:val="43"/>
    <w:autoRedefine/>
    <w:qFormat/>
    <w:uiPriority w:val="0"/>
    <w:rPr>
      <w:rFonts w:ascii="Courier New" w:hAnsi="Courier New" w:cs="Courier New"/>
      <w:kern w:val="2"/>
    </w:rPr>
  </w:style>
  <w:style w:type="character" w:customStyle="1" w:styleId="238">
    <w:name w:val="标题 Char"/>
    <w:basedOn w:val="50"/>
    <w:link w:val="45"/>
    <w:autoRedefine/>
    <w:qFormat/>
    <w:uiPriority w:val="0"/>
    <w:rPr>
      <w:rFonts w:ascii="Arial" w:hAnsi="Arial" w:cs="Arial"/>
      <w:b/>
      <w:bCs/>
      <w:kern w:val="2"/>
      <w:sz w:val="32"/>
      <w:szCs w:val="32"/>
    </w:rPr>
  </w:style>
  <w:style w:type="character" w:customStyle="1" w:styleId="239">
    <w:name w:val="个人答复风格"/>
    <w:autoRedefine/>
    <w:qFormat/>
    <w:uiPriority w:val="0"/>
    <w:rPr>
      <w:rFonts w:ascii="Arial" w:hAnsi="Arial" w:eastAsia="宋体" w:cs="Arial"/>
      <w:color w:val="auto"/>
      <w:sz w:val="20"/>
    </w:rPr>
  </w:style>
  <w:style w:type="character" w:customStyle="1" w:styleId="240">
    <w:name w:val="个人撰写风格"/>
    <w:autoRedefine/>
    <w:qFormat/>
    <w:uiPriority w:val="0"/>
    <w:rPr>
      <w:rFonts w:ascii="Arial" w:hAnsi="Arial" w:eastAsia="宋体" w:cs="Arial"/>
      <w:color w:val="auto"/>
      <w:sz w:val="20"/>
    </w:rPr>
  </w:style>
  <w:style w:type="paragraph" w:customStyle="1" w:styleId="241">
    <w:name w:val="条文脚注 Char"/>
    <w:basedOn w:val="37"/>
    <w:link w:val="242"/>
    <w:autoRedefine/>
    <w:qFormat/>
    <w:uiPriority w:val="0"/>
    <w:pPr>
      <w:numPr>
        <w:ilvl w:val="0"/>
        <w:numId w:val="0"/>
      </w:numPr>
      <w:ind w:left="200" w:leftChars="200" w:hanging="200" w:hangingChars="200"/>
      <w:jc w:val="both"/>
    </w:pPr>
  </w:style>
  <w:style w:type="character" w:customStyle="1" w:styleId="242">
    <w:name w:val="条文脚注 Char Char"/>
    <w:link w:val="241"/>
    <w:autoRedefine/>
    <w:qFormat/>
    <w:uiPriority w:val="0"/>
    <w:rPr>
      <w:rFonts w:ascii="宋体"/>
      <w:kern w:val="2"/>
      <w:sz w:val="18"/>
      <w:szCs w:val="18"/>
    </w:rPr>
  </w:style>
  <w:style w:type="character" w:customStyle="1" w:styleId="243">
    <w:name w:val="正文文本 Char"/>
    <w:basedOn w:val="50"/>
    <w:link w:val="19"/>
    <w:autoRedefine/>
    <w:qFormat/>
    <w:uiPriority w:val="0"/>
    <w:rPr>
      <w:kern w:val="2"/>
      <w:sz w:val="21"/>
      <w:szCs w:val="24"/>
    </w:rPr>
  </w:style>
  <w:style w:type="character" w:customStyle="1" w:styleId="244">
    <w:name w:val="正文文本缩进 Char"/>
    <w:basedOn w:val="50"/>
    <w:link w:val="20"/>
    <w:autoRedefine/>
    <w:qFormat/>
    <w:uiPriority w:val="0"/>
    <w:rPr>
      <w:kern w:val="2"/>
      <w:sz w:val="21"/>
      <w:szCs w:val="24"/>
    </w:rPr>
  </w:style>
  <w:style w:type="character" w:customStyle="1" w:styleId="245">
    <w:name w:val="日期 Char"/>
    <w:basedOn w:val="50"/>
    <w:link w:val="27"/>
    <w:autoRedefine/>
    <w:qFormat/>
    <w:uiPriority w:val="0"/>
    <w:rPr>
      <w:kern w:val="2"/>
      <w:sz w:val="28"/>
      <w:szCs w:val="24"/>
    </w:rPr>
  </w:style>
  <w:style w:type="character" w:customStyle="1" w:styleId="246">
    <w:name w:val="Char"/>
    <w:autoRedefine/>
    <w:qFormat/>
    <w:uiPriority w:val="0"/>
    <w:rPr>
      <w:rFonts w:eastAsia="宋体"/>
      <w:kern w:val="2"/>
      <w:sz w:val="18"/>
      <w:szCs w:val="18"/>
      <w:lang w:val="en-US" w:eastAsia="zh-CN" w:bidi="ar-SA"/>
    </w:rPr>
  </w:style>
  <w:style w:type="paragraph" w:customStyle="1" w:styleId="247">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Char1"/>
    <w:basedOn w:val="1"/>
    <w:autoRedefine/>
    <w:qFormat/>
    <w:uiPriority w:val="0"/>
    <w:pPr>
      <w:tabs>
        <w:tab w:val="left" w:pos="360"/>
      </w:tabs>
    </w:pPr>
    <w:rPr>
      <w:sz w:val="24"/>
    </w:rPr>
  </w:style>
  <w:style w:type="paragraph" w:customStyle="1" w:styleId="249">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50">
    <w:name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Char11"/>
    <w:basedOn w:val="1"/>
    <w:autoRedefine/>
    <w:qFormat/>
    <w:uiPriority w:val="0"/>
    <w:pPr>
      <w:tabs>
        <w:tab w:val="left" w:pos="360"/>
      </w:tabs>
    </w:pPr>
    <w:rPr>
      <w:sz w:val="24"/>
    </w:rPr>
  </w:style>
  <w:style w:type="paragraph" w:styleId="252">
    <w:name w:val="List Paragraph"/>
    <w:basedOn w:val="1"/>
    <w:autoRedefine/>
    <w:unhideWhenUsed/>
    <w:qFormat/>
    <w:uiPriority w:val="99"/>
    <w:pPr>
      <w:ind w:firstLine="420" w:firstLineChars="200"/>
    </w:pPr>
  </w:style>
  <w:style w:type="paragraph" w:customStyle="1" w:styleId="253">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54">
    <w:name w:val="标准文件_术语条二"/>
    <w:basedOn w:val="255"/>
    <w:next w:val="257"/>
    <w:autoRedefine/>
    <w:qFormat/>
    <w:uiPriority w:val="0"/>
  </w:style>
  <w:style w:type="paragraph" w:customStyle="1" w:styleId="255">
    <w:name w:val="标准文件_二级无标题"/>
    <w:basedOn w:val="256"/>
    <w:autoRedefine/>
    <w:qFormat/>
    <w:uiPriority w:val="0"/>
    <w:pPr>
      <w:spacing w:before="0" w:beforeLines="0" w:after="0" w:afterLines="0"/>
      <w:outlineLvl w:val="9"/>
    </w:pPr>
    <w:rPr>
      <w:rFonts w:ascii="宋体" w:eastAsia="宋体"/>
    </w:rPr>
  </w:style>
  <w:style w:type="paragraph" w:customStyle="1" w:styleId="256">
    <w:name w:val="标准文件_二级条标题"/>
    <w:next w:val="257"/>
    <w:autoRedefine/>
    <w:qFormat/>
    <w:uiPriority w:val="0"/>
    <w:pPr>
      <w:widowControl w:val="0"/>
      <w:numPr>
        <w:ilvl w:val="3"/>
        <w:numId w:val="19"/>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5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标准文件_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59">
    <w:name w:val="标准文件_注："/>
    <w:next w:val="257"/>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character" w:customStyle="1" w:styleId="260">
    <w:name w:val="std_docNumber"/>
    <w:autoRedefine/>
    <w:qFormat/>
    <w:uiPriority w:val="0"/>
    <w:rPr>
      <w:rFonts w:ascii="Cambria" w:hAnsi="Cambria"/>
      <w:shd w:val="clear" w:color="auto" w:fill="F2DBDB"/>
    </w:rPr>
  </w:style>
  <w:style w:type="character" w:customStyle="1" w:styleId="261">
    <w:name w:val="std_publisher"/>
    <w:autoRedefine/>
    <w:qFormat/>
    <w:uiPriority w:val="0"/>
    <w:rPr>
      <w:rFonts w:ascii="Cambria" w:hAnsi="Cambria"/>
      <w:shd w:val="clear" w:color="auto" w:fill="C6D9F1"/>
    </w:rPr>
  </w:style>
  <w:style w:type="character" w:customStyle="1" w:styleId="262">
    <w:name w:val="std_section"/>
    <w:autoRedefine/>
    <w:qFormat/>
    <w:uiPriority w:val="0"/>
    <w:rPr>
      <w:rFonts w:ascii="Cambria" w:hAnsi="Cambria"/>
      <w:shd w:val="clear" w:color="auto" w:fill="E5DFEC"/>
    </w:rPr>
  </w:style>
  <w:style w:type="character" w:customStyle="1" w:styleId="263">
    <w:name w:val="std_year"/>
    <w:autoRedefine/>
    <w:qFormat/>
    <w:uiPriority w:val="0"/>
    <w:rPr>
      <w:rFonts w:ascii="Cambria" w:hAnsi="Cambria"/>
      <w:shd w:val="clear" w:color="auto" w:fill="DAEEF3"/>
    </w:rPr>
  </w:style>
  <w:style w:type="paragraph" w:customStyle="1" w:styleId="264">
    <w:name w:val="List Continue 1 (-)"/>
    <w:basedOn w:val="1"/>
    <w:autoRedefine/>
    <w:qFormat/>
    <w:uiPriority w:val="0"/>
    <w:pPr>
      <w:widowControl/>
      <w:spacing w:after="240" w:line="210" w:lineRule="atLeast"/>
      <w:ind w:left="403" w:hanging="403"/>
    </w:pPr>
    <w:rPr>
      <w:rFonts w:ascii="Cambria" w:hAnsi="Cambria" w:eastAsia="Calibri"/>
      <w:kern w:val="0"/>
      <w:sz w:val="20"/>
      <w:szCs w:val="22"/>
      <w:lang w:val="en-GB" w:eastAsia="en-US"/>
    </w:rPr>
  </w:style>
  <w:style w:type="paragraph" w:customStyle="1" w:styleId="265">
    <w:name w:val="Table body (-)"/>
    <w:basedOn w:val="1"/>
    <w:autoRedefine/>
    <w:qFormat/>
    <w:uiPriority w:val="0"/>
    <w:pPr>
      <w:widowControl/>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left"/>
    </w:pPr>
    <w:rPr>
      <w:rFonts w:ascii="Cambria" w:hAnsi="Cambria" w:eastAsia="Calibri"/>
      <w:kern w:val="0"/>
      <w:sz w:val="18"/>
      <w:szCs w:val="22"/>
      <w:lang w:val="en-GB" w:eastAsia="en-US"/>
    </w:rPr>
  </w:style>
  <w:style w:type="paragraph" w:customStyle="1" w:styleId="266">
    <w:name w:val="Table footer"/>
    <w:basedOn w:val="1"/>
    <w:autoRedefine/>
    <w:qFormat/>
    <w:uiPriority w:val="0"/>
    <w:pPr>
      <w:widowControl/>
      <w:tabs>
        <w:tab w:val="left" w:pos="346"/>
      </w:tabs>
      <w:spacing w:before="60" w:after="60" w:line="200" w:lineRule="atLeast"/>
    </w:pPr>
    <w:rPr>
      <w:rFonts w:ascii="Cambria" w:hAnsi="Cambria" w:eastAsia="Calibri"/>
      <w:kern w:val="0"/>
      <w:sz w:val="18"/>
      <w:szCs w:val="22"/>
      <w:lang w:val="en-GB" w:eastAsia="en-US"/>
    </w:rPr>
  </w:style>
  <w:style w:type="paragraph" w:customStyle="1" w:styleId="267">
    <w:name w:val="Table header (-)"/>
    <w:basedOn w:val="265"/>
    <w:autoRedefine/>
    <w:qFormat/>
    <w:uiPriority w:val="0"/>
  </w:style>
  <w:style w:type="character" w:customStyle="1" w:styleId="268">
    <w:name w:val="std_docTitle"/>
    <w:autoRedefine/>
    <w:qFormat/>
    <w:uiPriority w:val="0"/>
    <w:rPr>
      <w:rFonts w:ascii="Cambria" w:hAnsi="Cambria"/>
      <w:i/>
      <w:shd w:val="clear" w:color="auto" w:fill="FDE9D9"/>
    </w:rPr>
  </w:style>
  <w:style w:type="paragraph" w:customStyle="1" w:styleId="269">
    <w:name w:val="Biblio Entry"/>
    <w:basedOn w:val="1"/>
    <w:link w:val="270"/>
    <w:autoRedefine/>
    <w:qFormat/>
    <w:uiPriority w:val="0"/>
    <w:pPr>
      <w:widowControl/>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ind w:left="662" w:hanging="662"/>
      <w:jc w:val="left"/>
    </w:pPr>
    <w:rPr>
      <w:rFonts w:ascii="Cambria" w:hAnsi="Cambria" w:eastAsia="Calibri"/>
      <w:kern w:val="0"/>
      <w:sz w:val="22"/>
      <w:szCs w:val="22"/>
      <w:lang w:val="en-GB" w:eastAsia="en-US"/>
    </w:rPr>
  </w:style>
  <w:style w:type="character" w:customStyle="1" w:styleId="270">
    <w:name w:val="Biblio Entry Char"/>
    <w:basedOn w:val="50"/>
    <w:link w:val="269"/>
    <w:autoRedefine/>
    <w:qFormat/>
    <w:uiPriority w:val="0"/>
    <w:rPr>
      <w:rFonts w:ascii="Cambria" w:hAnsi="Cambria" w:eastAsia="Calibri"/>
      <w:sz w:val="22"/>
      <w:szCs w:val="2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三零卫士</Company>
  <Pages>42</Pages>
  <Words>21161</Words>
  <Characters>25503</Characters>
  <Lines>391</Lines>
  <Paragraphs>110</Paragraphs>
  <TotalTime>1</TotalTime>
  <ScaleCrop>false</ScaleCrop>
  <LinksUpToDate>false</LinksUpToDate>
  <CharactersWithSpaces>26071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2020-04-07T17:14:00Z</dcterms:created>
  <dc:creator>闵京华</dc:creator>
  <cp:lastModifiedBy>Zhigao</cp:lastModifiedBy>
  <cp:lastPrinted>2024-05-21T02:35:00Z</cp:lastPrinted>
  <dcterms:modified xsi:type="dcterms:W3CDTF">2025-03-03T02:08:20Z</dcterms:modified>
  <dc:title>信息技术 安全技术 信息安全风险管理（草案）（专家征求意见会后修改稿）</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4F70C2A0631D48F08617C8BF36D6322B_13</vt:lpwstr>
  </property>
  <property fmtid="{D5CDD505-2E9C-101B-9397-08002B2CF9AE}" pid="4" name="KSOTemplateDocerSaveRecord">
    <vt:lpwstr>eyJoZGlkIjoiNmEyNjQwY2ZjOWVlMTQ5YTdhM2NiYjMxODE4NzU3ODEiLCJ1c2VySWQiOiI2Nzg1MzQyNDAifQ==</vt:lpwstr>
  </property>
</Properties>
</file>