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30" w:rsidRPr="00445230" w:rsidRDefault="00445230" w:rsidP="00445230">
      <w:pPr>
        <w:widowControl/>
        <w:spacing w:before="100" w:beforeAutospacing="1" w:after="100" w:afterAutospacing="1"/>
        <w:jc w:val="center"/>
        <w:outlineLvl w:val="0"/>
        <w:rPr>
          <w:rFonts w:ascii="宋体" w:eastAsia="宋体" w:hAnsi="宋体" w:cs="宋体"/>
          <w:b/>
          <w:bCs/>
          <w:color w:val="000000"/>
          <w:kern w:val="36"/>
          <w:sz w:val="32"/>
          <w:szCs w:val="32"/>
        </w:rPr>
      </w:pPr>
      <w:r w:rsidRPr="00445230">
        <w:rPr>
          <w:rFonts w:ascii="宋体" w:eastAsia="宋体" w:hAnsi="宋体" w:cs="宋体" w:hint="eastAsia"/>
          <w:b/>
          <w:bCs/>
          <w:color w:val="000000"/>
          <w:kern w:val="36"/>
          <w:sz w:val="32"/>
          <w:szCs w:val="32"/>
        </w:rPr>
        <w:t>国家发展改革委、公安部、财政部、国家保密局、国家电子政务内网建设和管理协调小组办公室关于进一步加强国家电子政务网络建设和应用工作的通知</w:t>
      </w:r>
      <w:r w:rsidRPr="00445230">
        <w:rPr>
          <w:rFonts w:ascii="宋体" w:eastAsia="宋体" w:hAnsi="宋体" w:cs="宋体" w:hint="eastAsia"/>
          <w:b/>
          <w:bCs/>
          <w:color w:val="000000"/>
          <w:kern w:val="36"/>
          <w:sz w:val="32"/>
          <w:szCs w:val="32"/>
        </w:rPr>
        <w:br/>
        <w:t>（发改高技[2012]1986号）</w:t>
      </w:r>
    </w:p>
    <w:p w:rsidR="00445230" w:rsidRPr="00445230" w:rsidRDefault="00445230" w:rsidP="00445230">
      <w:pPr>
        <w:widowControl/>
        <w:jc w:val="left"/>
        <w:rPr>
          <w:rFonts w:ascii="宋体" w:eastAsia="宋体" w:hAnsi="宋体" w:cs="宋体" w:hint="eastAsia"/>
          <w:kern w:val="0"/>
          <w:sz w:val="24"/>
          <w:szCs w:val="24"/>
        </w:rPr>
      </w:pPr>
      <w:r w:rsidRPr="00445230">
        <w:rPr>
          <w:rFonts w:ascii="宋体" w:eastAsia="宋体" w:hAnsi="宋体" w:cs="宋体" w:hint="eastAsia"/>
          <w:color w:val="000000"/>
          <w:kern w:val="0"/>
          <w:sz w:val="24"/>
          <w:szCs w:val="24"/>
        </w:rPr>
        <w:t>中央和国家机关各部委、各直属机构，各省、自治区、直辖市及计划单列市、新疆生产建设兵团发展改革委、公安厅（局）、财政厅（局）、保密局，国家电子外网管理中心，各级政务内网、政务外网建设和运维管理单位：</w:t>
      </w:r>
      <w:r w:rsidRPr="00445230">
        <w:rPr>
          <w:rFonts w:ascii="宋体" w:eastAsia="宋体" w:hAnsi="宋体" w:cs="宋体" w:hint="eastAsia"/>
          <w:color w:val="000000"/>
          <w:kern w:val="0"/>
          <w:sz w:val="24"/>
          <w:szCs w:val="24"/>
        </w:rPr>
        <w:br/>
        <w:t>为贯彻党的十七届五中全会《中共中央关于制定国民经济和社会发展第十二个五年规划的建议》精神和《国民经济和社会发展第十二个五年规划纲要》的战略部署，有效落实《“十二五”国家政务信息化工程建设规划》，加快推进国家电子政务网络建设和应用，加强对政务信息化工程利用国家电子政务网络的管理，依据《国家信息化领导小组关于推进国家电子政务网络建设的意见》（中办发[2006]18号）、《国家电子政务内网建设和管理规划（2011-2015年）》（厅字[2011]21号）、《关于加强党政机关和涉密单位网络保密管理的规定》（中办发[2011]11号），以及《信息安全等级保护管理办法》（公通字[2007]43号）等有关文件精神，现将有关工作要求通知如下：</w:t>
      </w:r>
    </w:p>
    <w:p w:rsidR="00445230" w:rsidRPr="00445230" w:rsidRDefault="00445230" w:rsidP="00445230">
      <w:pPr>
        <w:widowControl/>
        <w:jc w:val="left"/>
        <w:rPr>
          <w:rFonts w:ascii="宋体" w:eastAsia="宋体" w:hAnsi="宋体" w:cs="宋体"/>
          <w:color w:val="000000"/>
          <w:kern w:val="0"/>
          <w:sz w:val="24"/>
          <w:szCs w:val="24"/>
        </w:rPr>
      </w:pPr>
      <w:bookmarkStart w:id="0" w:name="1"/>
      <w:r w:rsidRPr="00445230">
        <w:rPr>
          <w:rFonts w:ascii="宋体" w:eastAsia="宋体" w:hAnsi="宋体" w:cs="宋体" w:hint="eastAsia"/>
          <w:color w:val="000000"/>
          <w:kern w:val="0"/>
          <w:sz w:val="24"/>
          <w:szCs w:val="24"/>
        </w:rPr>
        <w:t>一、</w:t>
      </w:r>
      <w:bookmarkEnd w:id="0"/>
      <w:r w:rsidRPr="00445230">
        <w:rPr>
          <w:rFonts w:ascii="宋体" w:eastAsia="宋体" w:hAnsi="宋体" w:cs="宋体" w:hint="eastAsia"/>
          <w:color w:val="000000"/>
          <w:kern w:val="0"/>
          <w:sz w:val="24"/>
          <w:szCs w:val="24"/>
        </w:rPr>
        <w:t>国家电子政务网络由国家电子政务内网和国家电子政务外网组成，应按照统一规划、分级负责的原则进行建设。各部门、各地方要充分认识加快国家电子政务网络建设的重要性和紧迫性，严格按照有关文件要求，采取切实有效措施，加快推进国家电子政务内网和国家电子政务外网的建设和应用。国家电子政务网络建设目标是：到“十二五”期末，形成统一完整、安全可靠、管理规范、保障有力的国家电子政务网络，基本满足政务应用需要。</w:t>
      </w:r>
    </w:p>
    <w:p w:rsidR="00445230" w:rsidRPr="00445230" w:rsidRDefault="00445230" w:rsidP="00445230">
      <w:pPr>
        <w:widowControl/>
        <w:jc w:val="left"/>
        <w:rPr>
          <w:rFonts w:ascii="宋体" w:eastAsia="宋体" w:hAnsi="宋体" w:cs="宋体" w:hint="eastAsia"/>
          <w:color w:val="000000"/>
          <w:kern w:val="0"/>
          <w:sz w:val="24"/>
          <w:szCs w:val="24"/>
        </w:rPr>
      </w:pPr>
      <w:bookmarkStart w:id="1" w:name="2"/>
      <w:r w:rsidRPr="00445230">
        <w:rPr>
          <w:rFonts w:ascii="宋体" w:eastAsia="宋体" w:hAnsi="宋体" w:cs="宋体" w:hint="eastAsia"/>
          <w:color w:val="000000"/>
          <w:kern w:val="0"/>
          <w:sz w:val="24"/>
          <w:szCs w:val="24"/>
        </w:rPr>
        <w:t>二、</w:t>
      </w:r>
      <w:bookmarkEnd w:id="1"/>
      <w:r w:rsidRPr="00445230">
        <w:rPr>
          <w:rFonts w:ascii="宋体" w:eastAsia="宋体" w:hAnsi="宋体" w:cs="宋体" w:hint="eastAsia"/>
          <w:color w:val="000000"/>
          <w:kern w:val="0"/>
          <w:sz w:val="24"/>
          <w:szCs w:val="24"/>
        </w:rPr>
        <w:t>加快建设国家电子政务内网。重点建设中央级政务内网平台，建成中央办公厅网络节点和国务院办公厅网络节点，尽快实现中央办公厅、全国人大常委会办公厅、国务院办公厅、全国政协办公厅、最高人民法院、最高人民检察院的安全互联互通，实现与省级电子政务内网平台安全链接。加强国家电子政务内网业务应用支撑能力建设，并严格按照涉密信息系统分级保护要求建设和管理国家电子政务内网，基本满足各部门开展跨地区、跨部门业务应用的需要。</w:t>
      </w:r>
    </w:p>
    <w:p w:rsidR="00445230" w:rsidRPr="00445230" w:rsidRDefault="00445230" w:rsidP="00445230">
      <w:pPr>
        <w:widowControl/>
        <w:jc w:val="left"/>
        <w:rPr>
          <w:rFonts w:ascii="宋体" w:eastAsia="宋体" w:hAnsi="宋体" w:cs="宋体" w:hint="eastAsia"/>
          <w:color w:val="000000"/>
          <w:kern w:val="0"/>
          <w:sz w:val="24"/>
          <w:szCs w:val="24"/>
        </w:rPr>
      </w:pPr>
      <w:bookmarkStart w:id="2" w:name="3"/>
      <w:r w:rsidRPr="00445230">
        <w:rPr>
          <w:rFonts w:ascii="宋体" w:eastAsia="宋体" w:hAnsi="宋体" w:cs="宋体" w:hint="eastAsia"/>
          <w:color w:val="000000"/>
          <w:kern w:val="0"/>
          <w:sz w:val="24"/>
          <w:szCs w:val="24"/>
        </w:rPr>
        <w:t>三、</w:t>
      </w:r>
      <w:bookmarkEnd w:id="2"/>
      <w:r w:rsidRPr="00445230">
        <w:rPr>
          <w:rFonts w:ascii="宋体" w:eastAsia="宋体" w:hAnsi="宋体" w:cs="宋体" w:hint="eastAsia"/>
          <w:color w:val="000000"/>
          <w:kern w:val="0"/>
          <w:sz w:val="24"/>
          <w:szCs w:val="24"/>
        </w:rPr>
        <w:t>建设完善覆盖全国县级以上政务部门的国家电子政务外网平台。完善中央级电子政务外网平台和地方电子政务外网平台，实现中央级电子政务外网平台与地方各级电子政务外网平台的有效联通。尚未实现电子政务外网地（市）、县（市）全覆盖的省（自治区、直辖市）要抓紧建设，力争到“十二五”末，实现国家电子政务外网在全国所有地（市）、县（市）的覆盖。尚未实现电子政务外网与国家电子政务外网连接的部门，要抓紧接入国家电子政务外网；已实现与国家电子政务外网连接的部门，要尽快迁移部署应在国家电子政务外网上运行的业务应用。要进一步加强国家电子政务外网的业务应用支撑能力建设，并按照信息安全等级保护要求建设和管理国家电子政务外网，以满足各级政务部门依托国家电子政务外网开展面向公众、服务民生的业务应用，以及国家基础信息资源实现开放共享的需要。</w:t>
      </w:r>
    </w:p>
    <w:p w:rsidR="00445230" w:rsidRPr="00445230" w:rsidRDefault="00445230" w:rsidP="00445230">
      <w:pPr>
        <w:widowControl/>
        <w:jc w:val="left"/>
        <w:rPr>
          <w:rFonts w:ascii="宋体" w:eastAsia="宋体" w:hAnsi="宋体" w:cs="宋体" w:hint="eastAsia"/>
          <w:color w:val="000000"/>
          <w:kern w:val="0"/>
          <w:sz w:val="24"/>
          <w:szCs w:val="24"/>
        </w:rPr>
      </w:pPr>
      <w:bookmarkStart w:id="3" w:name="4"/>
      <w:r w:rsidRPr="00445230">
        <w:rPr>
          <w:rFonts w:ascii="宋体" w:eastAsia="宋体" w:hAnsi="宋体" w:cs="宋体" w:hint="eastAsia"/>
          <w:color w:val="000000"/>
          <w:kern w:val="0"/>
          <w:sz w:val="24"/>
          <w:szCs w:val="24"/>
        </w:rPr>
        <w:lastRenderedPageBreak/>
        <w:t>四、</w:t>
      </w:r>
      <w:bookmarkEnd w:id="3"/>
      <w:r w:rsidRPr="00445230">
        <w:rPr>
          <w:rFonts w:ascii="宋体" w:eastAsia="宋体" w:hAnsi="宋体" w:cs="宋体" w:hint="eastAsia"/>
          <w:color w:val="000000"/>
          <w:kern w:val="0"/>
          <w:sz w:val="24"/>
          <w:szCs w:val="24"/>
        </w:rPr>
        <w:t>各级政务部门要抓紧制定本部门业务专网的迁移规划和实施方案，根据业务需求确定需在国家电子政务内网和国家电子政务外网上部署的业务，有计划地分别向国家电子政务内网和国家电子政务外网迁移。原则上，涉及国家秘密的机密级及以下的业务信息系统部署在国家电子政务内网上，非涉及国家秘密的业务信息系统部署在国家电子政务外网上。</w:t>
      </w:r>
    </w:p>
    <w:p w:rsidR="00445230" w:rsidRPr="00445230" w:rsidRDefault="00445230" w:rsidP="00445230">
      <w:pPr>
        <w:widowControl/>
        <w:jc w:val="left"/>
        <w:rPr>
          <w:rFonts w:ascii="宋体" w:eastAsia="宋体" w:hAnsi="宋体" w:cs="宋体" w:hint="eastAsia"/>
          <w:color w:val="000000"/>
          <w:kern w:val="0"/>
          <w:sz w:val="24"/>
          <w:szCs w:val="24"/>
        </w:rPr>
      </w:pPr>
      <w:bookmarkStart w:id="4" w:name="5"/>
      <w:r w:rsidRPr="00445230">
        <w:rPr>
          <w:rFonts w:ascii="宋体" w:eastAsia="宋体" w:hAnsi="宋体" w:cs="宋体" w:hint="eastAsia"/>
          <w:color w:val="000000"/>
          <w:kern w:val="0"/>
          <w:sz w:val="24"/>
          <w:szCs w:val="24"/>
        </w:rPr>
        <w:t>五、</w:t>
      </w:r>
      <w:bookmarkEnd w:id="4"/>
      <w:r w:rsidRPr="00445230">
        <w:rPr>
          <w:rFonts w:ascii="宋体" w:eastAsia="宋体" w:hAnsi="宋体" w:cs="宋体" w:hint="eastAsia"/>
          <w:color w:val="000000"/>
          <w:kern w:val="0"/>
          <w:sz w:val="24"/>
          <w:szCs w:val="24"/>
        </w:rPr>
        <w:t>各省（自治区、直辖市）要充分利用现有电子政务网络、技术队伍和资金渠道，大力推进本地统一电子政务网络建设。各省（自治区、直辖市）已建且用于部署涉密业务应用的省级电子政务网平台的安全链接。已建且用于部署非涉密业务应用的电子政务网络，原则上应纳入国家电子政务外网体系，实现与中央级电子政务外网平台的有效联通。</w:t>
      </w:r>
    </w:p>
    <w:p w:rsidR="00445230" w:rsidRPr="00445230" w:rsidRDefault="00445230" w:rsidP="00445230">
      <w:pPr>
        <w:widowControl/>
        <w:jc w:val="left"/>
        <w:rPr>
          <w:rFonts w:ascii="宋体" w:eastAsia="宋体" w:hAnsi="宋体" w:cs="宋体" w:hint="eastAsia"/>
          <w:color w:val="000000"/>
          <w:kern w:val="0"/>
          <w:sz w:val="24"/>
          <w:szCs w:val="24"/>
        </w:rPr>
      </w:pPr>
      <w:bookmarkStart w:id="5" w:name="6"/>
      <w:r w:rsidRPr="00445230">
        <w:rPr>
          <w:rFonts w:ascii="宋体" w:eastAsia="宋体" w:hAnsi="宋体" w:cs="宋体" w:hint="eastAsia"/>
          <w:color w:val="000000"/>
          <w:kern w:val="0"/>
          <w:sz w:val="24"/>
          <w:szCs w:val="24"/>
        </w:rPr>
        <w:t>六、</w:t>
      </w:r>
      <w:bookmarkEnd w:id="5"/>
      <w:r w:rsidRPr="00445230">
        <w:rPr>
          <w:rFonts w:ascii="宋体" w:eastAsia="宋体" w:hAnsi="宋体" w:cs="宋体" w:hint="eastAsia"/>
          <w:color w:val="000000"/>
          <w:kern w:val="0"/>
          <w:sz w:val="24"/>
          <w:szCs w:val="24"/>
        </w:rPr>
        <w:t>各级政务部门新建和续建电子政务工程建设项目，应在进行立项需求分析时，确定需在国家电子政务内网和国家电子政务外网平台上部署的业务应用，及其相应的网络覆盖面和网络通信能力的需求。有关涉密业务应用的密级及保护等级，须报同级保密行政管理部门审查，有关非涉密业务应用安全保护等级，须报同级公安部门备案。</w:t>
      </w:r>
    </w:p>
    <w:p w:rsidR="00445230" w:rsidRPr="00445230" w:rsidRDefault="00445230" w:rsidP="00445230">
      <w:pPr>
        <w:widowControl/>
        <w:jc w:val="left"/>
        <w:rPr>
          <w:rFonts w:ascii="宋体" w:eastAsia="宋体" w:hAnsi="宋体" w:cs="宋体" w:hint="eastAsia"/>
          <w:color w:val="000000"/>
          <w:kern w:val="0"/>
          <w:sz w:val="24"/>
          <w:szCs w:val="24"/>
        </w:rPr>
      </w:pPr>
      <w:bookmarkStart w:id="6" w:name="7"/>
      <w:r w:rsidRPr="00445230">
        <w:rPr>
          <w:rFonts w:ascii="宋体" w:eastAsia="宋体" w:hAnsi="宋体" w:cs="宋体" w:hint="eastAsia"/>
          <w:color w:val="000000"/>
          <w:kern w:val="0"/>
          <w:sz w:val="24"/>
          <w:szCs w:val="24"/>
        </w:rPr>
        <w:t>七、</w:t>
      </w:r>
      <w:bookmarkEnd w:id="6"/>
      <w:r w:rsidRPr="00445230">
        <w:rPr>
          <w:rFonts w:ascii="宋体" w:eastAsia="宋体" w:hAnsi="宋体" w:cs="宋体" w:hint="eastAsia"/>
          <w:color w:val="000000"/>
          <w:kern w:val="0"/>
          <w:sz w:val="24"/>
          <w:szCs w:val="24"/>
        </w:rPr>
        <w:t>中央各政务部门新建和续建电子政务工程建设项目（含中央和地方共建项目，下同），应在项目建议书编制阶段，分别研究制定利用国家电子政务内网和国家电子政务外网开展业务应用的部署和迁移计划，并纳入项目建议书。接入国家电子政务内网平台的有关方案，应报国家电子政务内网建设和管理协调小组办公室审核，由国家保密行政管理部门审查。接入国家电子政务外网平台的有关方案，应与国家电子政务外网管理中心签订相关的业务应用协议。在可行性研究阶段，应结合国家电子政务内网和国家电子政务外网平台建设的实际情况和支撑能力，进一步研究确定具体的业务应用的部署方案，以及部门专网业务向国家电子政务内网和国家电子政务外网迁移的具体方案，并纳入项目可行性研究报告。</w:t>
      </w:r>
    </w:p>
    <w:p w:rsidR="00445230" w:rsidRPr="00445230" w:rsidRDefault="00445230" w:rsidP="00445230">
      <w:pPr>
        <w:widowControl/>
        <w:jc w:val="left"/>
        <w:rPr>
          <w:rFonts w:ascii="宋体" w:eastAsia="宋体" w:hAnsi="宋体" w:cs="宋体" w:hint="eastAsia"/>
          <w:color w:val="000000"/>
          <w:kern w:val="0"/>
          <w:sz w:val="24"/>
          <w:szCs w:val="24"/>
        </w:rPr>
      </w:pPr>
      <w:bookmarkStart w:id="7" w:name="8"/>
      <w:r w:rsidRPr="00445230">
        <w:rPr>
          <w:rFonts w:ascii="宋体" w:eastAsia="宋体" w:hAnsi="宋体" w:cs="宋体" w:hint="eastAsia"/>
          <w:color w:val="000000"/>
          <w:kern w:val="0"/>
          <w:sz w:val="24"/>
          <w:szCs w:val="24"/>
        </w:rPr>
        <w:t>八、</w:t>
      </w:r>
      <w:bookmarkEnd w:id="7"/>
      <w:r w:rsidRPr="00445230">
        <w:rPr>
          <w:rFonts w:ascii="宋体" w:eastAsia="宋体" w:hAnsi="宋体" w:cs="宋体" w:hint="eastAsia"/>
          <w:color w:val="000000"/>
          <w:kern w:val="0"/>
          <w:sz w:val="24"/>
          <w:szCs w:val="24"/>
        </w:rPr>
        <w:t>组织电子政务工程建设项目需求分析报告的评议，以及项目建议书和可行性研究报告的评审时，应通知保密行政管理部门、公安部门、国家电子政务内网及国家电子政务外网建设和管理单位派出专家参加。</w:t>
      </w:r>
    </w:p>
    <w:p w:rsidR="00445230" w:rsidRPr="00445230" w:rsidRDefault="00445230" w:rsidP="00445230">
      <w:pPr>
        <w:widowControl/>
        <w:jc w:val="left"/>
        <w:rPr>
          <w:rFonts w:ascii="宋体" w:eastAsia="宋体" w:hAnsi="宋体" w:cs="宋体" w:hint="eastAsia"/>
          <w:color w:val="000000"/>
          <w:kern w:val="0"/>
          <w:sz w:val="24"/>
          <w:szCs w:val="24"/>
        </w:rPr>
      </w:pPr>
      <w:bookmarkStart w:id="8" w:name="9"/>
      <w:r w:rsidRPr="00445230">
        <w:rPr>
          <w:rFonts w:ascii="宋体" w:eastAsia="宋体" w:hAnsi="宋体" w:cs="宋体" w:hint="eastAsia"/>
          <w:color w:val="000000"/>
          <w:kern w:val="0"/>
          <w:sz w:val="24"/>
          <w:szCs w:val="24"/>
        </w:rPr>
        <w:t>九、</w:t>
      </w:r>
      <w:bookmarkEnd w:id="8"/>
      <w:r w:rsidRPr="00445230">
        <w:rPr>
          <w:rFonts w:ascii="宋体" w:eastAsia="宋体" w:hAnsi="宋体" w:cs="宋体" w:hint="eastAsia"/>
          <w:color w:val="000000"/>
          <w:kern w:val="0"/>
          <w:sz w:val="24"/>
          <w:szCs w:val="24"/>
        </w:rPr>
        <w:t>中央各政务部门向国家发展改革委报送电子政务工程项目建议书时，应根据情况附保密行政管理部门出具的涉密信息系统保密审查意见、公安部门出具的非涉密信息系统安全保护等级备案证明、国家电子政务内网建设和管理协调小组办公室关于接入国家电子政务内网平台的有关方案的审核意见，以及与国家电子政务外网管理中心签订的依托国家电子政务外网开展业务应用的相关协议。</w:t>
      </w:r>
    </w:p>
    <w:p w:rsidR="00445230" w:rsidRPr="00445230" w:rsidRDefault="00445230" w:rsidP="00445230">
      <w:pPr>
        <w:widowControl/>
        <w:jc w:val="left"/>
        <w:rPr>
          <w:rFonts w:ascii="宋体" w:eastAsia="宋体" w:hAnsi="宋体" w:cs="宋体" w:hint="eastAsia"/>
          <w:color w:val="000000"/>
          <w:kern w:val="0"/>
          <w:sz w:val="24"/>
          <w:szCs w:val="24"/>
        </w:rPr>
      </w:pPr>
      <w:bookmarkStart w:id="9" w:name="10"/>
      <w:r w:rsidRPr="00445230">
        <w:rPr>
          <w:rFonts w:ascii="宋体" w:eastAsia="宋体" w:hAnsi="宋体" w:cs="宋体" w:hint="eastAsia"/>
          <w:color w:val="000000"/>
          <w:kern w:val="0"/>
          <w:sz w:val="24"/>
          <w:szCs w:val="24"/>
        </w:rPr>
        <w:t>十、</w:t>
      </w:r>
      <w:bookmarkEnd w:id="9"/>
      <w:r w:rsidRPr="00445230">
        <w:rPr>
          <w:rFonts w:ascii="宋体" w:eastAsia="宋体" w:hAnsi="宋体" w:cs="宋体" w:hint="eastAsia"/>
          <w:color w:val="000000"/>
          <w:kern w:val="0"/>
          <w:sz w:val="24"/>
          <w:szCs w:val="24"/>
        </w:rPr>
        <w:t>中央和地方共建的电子政务工程建设项目，地方发展改革部门应按照国家统一立项批复的项目建议书中关于地方建设部分必须利用国家电子政务网络的要求，审批地方政务部门报送的可行性研究报告，以及初步设计和投资概算。地方部分的可行性研究报告在征求中央政务部门意见时，中央政务部门应把好关，切实保障国家电子政务网络的有效利用。</w:t>
      </w:r>
    </w:p>
    <w:p w:rsidR="00445230" w:rsidRPr="00445230" w:rsidRDefault="00445230" w:rsidP="00445230">
      <w:pPr>
        <w:widowControl/>
        <w:jc w:val="left"/>
        <w:rPr>
          <w:rFonts w:ascii="宋体" w:eastAsia="宋体" w:hAnsi="宋体" w:cs="宋体" w:hint="eastAsia"/>
          <w:color w:val="000000"/>
          <w:kern w:val="0"/>
          <w:sz w:val="24"/>
          <w:szCs w:val="24"/>
        </w:rPr>
      </w:pPr>
      <w:bookmarkStart w:id="10" w:name="11"/>
      <w:r w:rsidRPr="00445230">
        <w:rPr>
          <w:rFonts w:ascii="宋体" w:eastAsia="宋体" w:hAnsi="宋体" w:cs="宋体" w:hint="eastAsia"/>
          <w:color w:val="000000"/>
          <w:kern w:val="0"/>
          <w:sz w:val="24"/>
          <w:szCs w:val="24"/>
        </w:rPr>
        <w:t>十一、</w:t>
      </w:r>
      <w:bookmarkEnd w:id="10"/>
      <w:r w:rsidRPr="00445230">
        <w:rPr>
          <w:rFonts w:ascii="宋体" w:eastAsia="宋体" w:hAnsi="宋体" w:cs="宋体" w:hint="eastAsia"/>
          <w:color w:val="000000"/>
          <w:kern w:val="0"/>
          <w:sz w:val="24"/>
          <w:szCs w:val="24"/>
        </w:rPr>
        <w:t>国家电子政务工程建设项目在验收前，应委托具备资质的测评机构，分别对涉及和不涉及国家秘密项目开展分级或等级测评和风险评估，对符合要求的，方可申请项目竣工验收。</w:t>
      </w:r>
      <w:r w:rsidRPr="00445230">
        <w:rPr>
          <w:rFonts w:ascii="宋体" w:eastAsia="宋体" w:hAnsi="宋体" w:cs="宋体" w:hint="eastAsia"/>
          <w:color w:val="000000"/>
          <w:kern w:val="0"/>
          <w:sz w:val="24"/>
          <w:szCs w:val="24"/>
        </w:rPr>
        <w:br/>
        <w:t>国家电子政务工程建设项目在竣工验收时，应对项目是否按照保密审查、定级</w:t>
      </w:r>
      <w:r w:rsidRPr="00445230">
        <w:rPr>
          <w:rFonts w:ascii="宋体" w:eastAsia="宋体" w:hAnsi="宋体" w:cs="宋体" w:hint="eastAsia"/>
          <w:color w:val="000000"/>
          <w:kern w:val="0"/>
          <w:sz w:val="24"/>
          <w:szCs w:val="24"/>
        </w:rPr>
        <w:lastRenderedPageBreak/>
        <w:t>备案，以及工程立项批复的有关要求，合理利用国家电子政务网络的情况单独列项进行检查，对符合要求的，方可进行验收。</w:t>
      </w:r>
    </w:p>
    <w:p w:rsidR="00445230" w:rsidRPr="00445230" w:rsidRDefault="00445230" w:rsidP="00445230">
      <w:pPr>
        <w:widowControl/>
        <w:jc w:val="left"/>
        <w:rPr>
          <w:rFonts w:ascii="宋体" w:eastAsia="宋体" w:hAnsi="宋体" w:cs="宋体" w:hint="eastAsia"/>
          <w:kern w:val="0"/>
          <w:sz w:val="24"/>
          <w:szCs w:val="24"/>
        </w:rPr>
      </w:pPr>
      <w:bookmarkStart w:id="11" w:name="12"/>
      <w:r w:rsidRPr="00445230">
        <w:rPr>
          <w:rFonts w:ascii="宋体" w:eastAsia="宋体" w:hAnsi="宋体" w:cs="宋体" w:hint="eastAsia"/>
          <w:color w:val="000000"/>
          <w:kern w:val="0"/>
          <w:sz w:val="24"/>
          <w:szCs w:val="24"/>
        </w:rPr>
        <w:t>十二、</w:t>
      </w:r>
      <w:bookmarkEnd w:id="11"/>
      <w:r w:rsidRPr="00445230">
        <w:rPr>
          <w:rFonts w:ascii="宋体" w:eastAsia="宋体" w:hAnsi="宋体" w:cs="宋体" w:hint="eastAsia"/>
          <w:color w:val="000000"/>
          <w:kern w:val="0"/>
          <w:sz w:val="24"/>
          <w:szCs w:val="24"/>
        </w:rPr>
        <w:t>国家发展改革委今后原则上不再批准建设新的部门专用业务信息网络。财政部原则上不再安排新的部门专用业务信息网络运行维护经费，并将根据各政务部门业务应用信息系统在国家电子政务内网和国家电子政务外网上部署的进展情况，相应调整业务应用信息系统的运行维护费用，同时合理安排国家电子政务内网和国家电子政务外网运行维护费用。</w:t>
      </w:r>
    </w:p>
    <w:p w:rsidR="00445230" w:rsidRPr="00445230" w:rsidRDefault="00445230" w:rsidP="00445230">
      <w:pPr>
        <w:widowControl/>
        <w:jc w:val="right"/>
        <w:rPr>
          <w:rFonts w:ascii="宋体" w:eastAsia="宋体" w:hAnsi="宋体" w:cs="宋体"/>
          <w:color w:val="000000"/>
          <w:kern w:val="0"/>
          <w:sz w:val="24"/>
          <w:szCs w:val="24"/>
        </w:rPr>
      </w:pPr>
      <w:r w:rsidRPr="00445230">
        <w:rPr>
          <w:rFonts w:ascii="宋体" w:eastAsia="宋体" w:hAnsi="宋体" w:cs="宋体" w:hint="eastAsia"/>
          <w:color w:val="000000"/>
          <w:kern w:val="0"/>
          <w:sz w:val="24"/>
          <w:szCs w:val="24"/>
        </w:rPr>
        <w:t>国家发展改革委</w:t>
      </w:r>
      <w:r w:rsidRPr="00445230">
        <w:rPr>
          <w:rFonts w:ascii="宋体" w:eastAsia="宋体" w:hAnsi="宋体" w:cs="宋体" w:hint="eastAsia"/>
          <w:color w:val="000000"/>
          <w:kern w:val="0"/>
          <w:sz w:val="24"/>
          <w:szCs w:val="24"/>
        </w:rPr>
        <w:br/>
        <w:t>公安部</w:t>
      </w:r>
      <w:r w:rsidRPr="00445230">
        <w:rPr>
          <w:rFonts w:ascii="宋体" w:eastAsia="宋体" w:hAnsi="宋体" w:cs="宋体" w:hint="eastAsia"/>
          <w:color w:val="000000"/>
          <w:kern w:val="0"/>
          <w:sz w:val="24"/>
          <w:szCs w:val="24"/>
        </w:rPr>
        <w:br/>
        <w:t>财政部</w:t>
      </w:r>
      <w:r w:rsidRPr="00445230">
        <w:rPr>
          <w:rFonts w:ascii="宋体" w:eastAsia="宋体" w:hAnsi="宋体" w:cs="宋体" w:hint="eastAsia"/>
          <w:color w:val="000000"/>
          <w:kern w:val="0"/>
          <w:sz w:val="24"/>
          <w:szCs w:val="24"/>
        </w:rPr>
        <w:br/>
        <w:t>国家保密局</w:t>
      </w:r>
      <w:r w:rsidRPr="00445230">
        <w:rPr>
          <w:rFonts w:ascii="宋体" w:eastAsia="宋体" w:hAnsi="宋体" w:cs="宋体" w:hint="eastAsia"/>
          <w:color w:val="000000"/>
          <w:kern w:val="0"/>
          <w:sz w:val="24"/>
          <w:szCs w:val="24"/>
        </w:rPr>
        <w:br/>
        <w:t>国家电子政务内网建设和管理协调小组办公室</w:t>
      </w:r>
      <w:r w:rsidRPr="00445230">
        <w:rPr>
          <w:rFonts w:ascii="宋体" w:eastAsia="宋体" w:hAnsi="宋体" w:cs="宋体" w:hint="eastAsia"/>
          <w:color w:val="000000"/>
          <w:kern w:val="0"/>
          <w:sz w:val="24"/>
          <w:szCs w:val="24"/>
        </w:rPr>
        <w:br/>
        <w:t>2012年7月6日</w:t>
      </w:r>
    </w:p>
    <w:p w:rsidR="00E63F9F" w:rsidRPr="00445230" w:rsidRDefault="00E63F9F">
      <w:bookmarkStart w:id="12" w:name="_GoBack"/>
      <w:bookmarkEnd w:id="12"/>
    </w:p>
    <w:sectPr w:rsidR="00E63F9F" w:rsidRPr="00445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A0" w:rsidRDefault="000C1CA0" w:rsidP="00445230">
      <w:r>
        <w:separator/>
      </w:r>
    </w:p>
  </w:endnote>
  <w:endnote w:type="continuationSeparator" w:id="0">
    <w:p w:rsidR="000C1CA0" w:rsidRDefault="000C1CA0" w:rsidP="004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A0" w:rsidRDefault="000C1CA0" w:rsidP="00445230">
      <w:r>
        <w:separator/>
      </w:r>
    </w:p>
  </w:footnote>
  <w:footnote w:type="continuationSeparator" w:id="0">
    <w:p w:rsidR="000C1CA0" w:rsidRDefault="000C1CA0" w:rsidP="00445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FA"/>
    <w:rsid w:val="000C1CA0"/>
    <w:rsid w:val="003B5CFA"/>
    <w:rsid w:val="00445230"/>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93EEA-54B3-487D-B90C-8B70BFF8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452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230"/>
    <w:rPr>
      <w:sz w:val="18"/>
      <w:szCs w:val="18"/>
    </w:rPr>
  </w:style>
  <w:style w:type="paragraph" w:styleId="a4">
    <w:name w:val="footer"/>
    <w:basedOn w:val="a"/>
    <w:link w:val="Char0"/>
    <w:uiPriority w:val="99"/>
    <w:unhideWhenUsed/>
    <w:rsid w:val="00445230"/>
    <w:pPr>
      <w:tabs>
        <w:tab w:val="center" w:pos="4153"/>
        <w:tab w:val="right" w:pos="8306"/>
      </w:tabs>
      <w:snapToGrid w:val="0"/>
      <w:jc w:val="left"/>
    </w:pPr>
    <w:rPr>
      <w:sz w:val="18"/>
      <w:szCs w:val="18"/>
    </w:rPr>
  </w:style>
  <w:style w:type="character" w:customStyle="1" w:styleId="Char0">
    <w:name w:val="页脚 Char"/>
    <w:basedOn w:val="a0"/>
    <w:link w:val="a4"/>
    <w:uiPriority w:val="99"/>
    <w:rsid w:val="00445230"/>
    <w:rPr>
      <w:sz w:val="18"/>
      <w:szCs w:val="18"/>
    </w:rPr>
  </w:style>
  <w:style w:type="character" w:customStyle="1" w:styleId="1Char">
    <w:name w:val="标题 1 Char"/>
    <w:basedOn w:val="a0"/>
    <w:link w:val="1"/>
    <w:uiPriority w:val="9"/>
    <w:rsid w:val="00445230"/>
    <w:rPr>
      <w:rFonts w:ascii="宋体" w:eastAsia="宋体" w:hAnsi="宋体" w:cs="宋体"/>
      <w:b/>
      <w:bCs/>
      <w:kern w:val="36"/>
      <w:sz w:val="48"/>
      <w:szCs w:val="48"/>
    </w:rPr>
  </w:style>
  <w:style w:type="character" w:customStyle="1" w:styleId="lawsubtitle">
    <w:name w:val="law_sub_title"/>
    <w:basedOn w:val="a0"/>
    <w:rsid w:val="004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42">
      <w:bodyDiv w:val="1"/>
      <w:marLeft w:val="0"/>
      <w:marRight w:val="0"/>
      <w:marTop w:val="0"/>
      <w:marBottom w:val="0"/>
      <w:divBdr>
        <w:top w:val="none" w:sz="0" w:space="0" w:color="auto"/>
        <w:left w:val="none" w:sz="0" w:space="0" w:color="auto"/>
        <w:bottom w:val="none" w:sz="0" w:space="0" w:color="auto"/>
        <w:right w:val="none" w:sz="0" w:space="0" w:color="auto"/>
      </w:divBdr>
      <w:divsChild>
        <w:div w:id="1397586011">
          <w:marLeft w:val="0"/>
          <w:marRight w:val="0"/>
          <w:marTop w:val="0"/>
          <w:marBottom w:val="0"/>
          <w:divBdr>
            <w:top w:val="none" w:sz="0" w:space="0" w:color="auto"/>
            <w:left w:val="none" w:sz="0" w:space="0" w:color="auto"/>
            <w:bottom w:val="none" w:sz="0" w:space="0" w:color="auto"/>
            <w:right w:val="none" w:sz="0" w:space="0" w:color="auto"/>
          </w:divBdr>
        </w:div>
        <w:div w:id="1951011262">
          <w:marLeft w:val="0"/>
          <w:marRight w:val="0"/>
          <w:marTop w:val="0"/>
          <w:marBottom w:val="0"/>
          <w:divBdr>
            <w:top w:val="none" w:sz="0" w:space="0" w:color="auto"/>
            <w:left w:val="none" w:sz="0" w:space="0" w:color="auto"/>
            <w:bottom w:val="none" w:sz="0" w:space="0" w:color="auto"/>
            <w:right w:val="none" w:sz="0" w:space="0" w:color="auto"/>
          </w:divBdr>
        </w:div>
        <w:div w:id="855267817">
          <w:marLeft w:val="0"/>
          <w:marRight w:val="0"/>
          <w:marTop w:val="0"/>
          <w:marBottom w:val="0"/>
          <w:divBdr>
            <w:top w:val="none" w:sz="0" w:space="0" w:color="auto"/>
            <w:left w:val="none" w:sz="0" w:space="0" w:color="auto"/>
            <w:bottom w:val="none" w:sz="0" w:space="0" w:color="auto"/>
            <w:right w:val="none" w:sz="0" w:space="0" w:color="auto"/>
          </w:divBdr>
        </w:div>
        <w:div w:id="1604260579">
          <w:marLeft w:val="0"/>
          <w:marRight w:val="0"/>
          <w:marTop w:val="0"/>
          <w:marBottom w:val="0"/>
          <w:divBdr>
            <w:top w:val="none" w:sz="0" w:space="0" w:color="auto"/>
            <w:left w:val="none" w:sz="0" w:space="0" w:color="auto"/>
            <w:bottom w:val="none" w:sz="0" w:space="0" w:color="auto"/>
            <w:right w:val="none" w:sz="0" w:space="0" w:color="auto"/>
          </w:divBdr>
        </w:div>
        <w:div w:id="789662940">
          <w:marLeft w:val="0"/>
          <w:marRight w:val="0"/>
          <w:marTop w:val="0"/>
          <w:marBottom w:val="0"/>
          <w:divBdr>
            <w:top w:val="none" w:sz="0" w:space="0" w:color="auto"/>
            <w:left w:val="none" w:sz="0" w:space="0" w:color="auto"/>
            <w:bottom w:val="none" w:sz="0" w:space="0" w:color="auto"/>
            <w:right w:val="none" w:sz="0" w:space="0" w:color="auto"/>
          </w:divBdr>
        </w:div>
        <w:div w:id="1035928347">
          <w:marLeft w:val="0"/>
          <w:marRight w:val="0"/>
          <w:marTop w:val="0"/>
          <w:marBottom w:val="0"/>
          <w:divBdr>
            <w:top w:val="none" w:sz="0" w:space="0" w:color="auto"/>
            <w:left w:val="none" w:sz="0" w:space="0" w:color="auto"/>
            <w:bottom w:val="none" w:sz="0" w:space="0" w:color="auto"/>
            <w:right w:val="none" w:sz="0" w:space="0" w:color="auto"/>
          </w:divBdr>
        </w:div>
        <w:div w:id="699203623">
          <w:marLeft w:val="0"/>
          <w:marRight w:val="0"/>
          <w:marTop w:val="0"/>
          <w:marBottom w:val="0"/>
          <w:divBdr>
            <w:top w:val="none" w:sz="0" w:space="0" w:color="auto"/>
            <w:left w:val="none" w:sz="0" w:space="0" w:color="auto"/>
            <w:bottom w:val="none" w:sz="0" w:space="0" w:color="auto"/>
            <w:right w:val="none" w:sz="0" w:space="0" w:color="auto"/>
          </w:divBdr>
        </w:div>
        <w:div w:id="1749227804">
          <w:marLeft w:val="0"/>
          <w:marRight w:val="0"/>
          <w:marTop w:val="0"/>
          <w:marBottom w:val="0"/>
          <w:divBdr>
            <w:top w:val="none" w:sz="0" w:space="0" w:color="auto"/>
            <w:left w:val="none" w:sz="0" w:space="0" w:color="auto"/>
            <w:bottom w:val="none" w:sz="0" w:space="0" w:color="auto"/>
            <w:right w:val="none" w:sz="0" w:space="0" w:color="auto"/>
          </w:divBdr>
        </w:div>
        <w:div w:id="1768693619">
          <w:marLeft w:val="0"/>
          <w:marRight w:val="0"/>
          <w:marTop w:val="0"/>
          <w:marBottom w:val="0"/>
          <w:divBdr>
            <w:top w:val="none" w:sz="0" w:space="0" w:color="auto"/>
            <w:left w:val="none" w:sz="0" w:space="0" w:color="auto"/>
            <w:bottom w:val="none" w:sz="0" w:space="0" w:color="auto"/>
            <w:right w:val="none" w:sz="0" w:space="0" w:color="auto"/>
          </w:divBdr>
        </w:div>
        <w:div w:id="2137749497">
          <w:marLeft w:val="0"/>
          <w:marRight w:val="0"/>
          <w:marTop w:val="0"/>
          <w:marBottom w:val="0"/>
          <w:divBdr>
            <w:top w:val="none" w:sz="0" w:space="0" w:color="auto"/>
            <w:left w:val="none" w:sz="0" w:space="0" w:color="auto"/>
            <w:bottom w:val="none" w:sz="0" w:space="0" w:color="auto"/>
            <w:right w:val="none" w:sz="0" w:space="0" w:color="auto"/>
          </w:divBdr>
        </w:div>
        <w:div w:id="95834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2018-01-12T03:11:00Z</dcterms:created>
  <dcterms:modified xsi:type="dcterms:W3CDTF">2018-01-12T03:11:00Z</dcterms:modified>
</cp:coreProperties>
</file>